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Style w:val="TableStyle0"/>
        <w:tblW w:w="10395" w:type="dxa"/>
        <w:jc w:val="left"/>
        <w:tblInd w:w="0" w:type="dxa"/>
        <w:tblLayout w:type="fixed"/>
        <w:tblCellMar>
          <w:top w:w="0" w:type="dxa"/>
          <w:left w:w="0" w:type="dxa"/>
          <w:bottom w:w="0" w:type="dxa"/>
          <w:right w:w="0" w:type="dxa"/>
        </w:tblCellMar>
        <w:tblLook w:val="04a0"/>
      </w:tblPr>
      <w:tblGrid>
        <w:gridCol w:w="944"/>
        <w:gridCol w:w="945"/>
        <w:gridCol w:w="945"/>
        <w:gridCol w:w="945"/>
        <w:gridCol w:w="945"/>
        <w:gridCol w:w="946"/>
        <w:gridCol w:w="945"/>
        <w:gridCol w:w="945"/>
        <w:gridCol w:w="945"/>
        <w:gridCol w:w="945"/>
        <w:gridCol w:w="943"/>
      </w:tblGrid>
      <w:tr>
        <w:trPr>
          <w:trHeight w:val="315" w:hRule="exact"/>
        </w:trPr>
        <w:tc>
          <w:tcPr>
            <w:tcW w:w="10393" w:type="dxa"/>
            <w:gridSpan w:val="11"/>
            <w:tcBorders/>
            <w:shd w:color="FFFFFF" w:fill="auto" w:val="clear"/>
            <w:vAlign w:val="bottom"/>
          </w:tcPr>
          <w:p>
            <w:pPr>
              <w:pStyle w:val="Normal"/>
              <w:bidi w:val="0"/>
              <w:spacing w:lineRule="auto" w:line="240" w:before="0" w:after="0"/>
              <w:jc w:val="center"/>
              <w:rPr>
                <w:rFonts w:ascii="Times New Roman" w:hAnsi="Times New Roman"/>
                <w:b/>
                <w:sz w:val="20"/>
                <w:szCs w:val="20"/>
              </w:rPr>
            </w:pPr>
            <w:r>
              <w:rPr>
                <w:rFonts w:ascii="Times New Roman" w:hAnsi="Times New Roman"/>
                <w:b/>
                <w:kern w:val="0"/>
                <w:sz w:val="20"/>
                <w:szCs w:val="20"/>
              </w:rPr>
              <w:t>ДОГОВОР</w:t>
            </w:r>
          </w:p>
        </w:tc>
      </w:tr>
      <w:tr>
        <w:trPr>
          <w:trHeight w:val="270" w:hRule="exact"/>
        </w:trPr>
        <w:tc>
          <w:tcPr>
            <w:tcW w:w="10393" w:type="dxa"/>
            <w:gridSpan w:val="11"/>
            <w:tcBorders/>
            <w:shd w:color="FFFFFF" w:fill="auto" w:val="clear"/>
            <w:vAlign w:val="bottom"/>
          </w:tcPr>
          <w:p>
            <w:pPr>
              <w:pStyle w:val="Normal"/>
              <w:bidi w:val="0"/>
              <w:spacing w:lineRule="auto" w:line="240" w:before="0" w:after="0"/>
              <w:jc w:val="center"/>
              <w:rPr>
                <w:rFonts w:ascii="Times New Roman" w:hAnsi="Times New Roman"/>
                <w:b/>
                <w:sz w:val="20"/>
                <w:szCs w:val="20"/>
              </w:rPr>
            </w:pPr>
            <w:r>
              <w:rPr>
                <w:rFonts w:ascii="Times New Roman" w:hAnsi="Times New Roman"/>
                <w:b/>
                <w:kern w:val="0"/>
                <w:sz w:val="20"/>
                <w:szCs w:val="20"/>
              </w:rPr>
              <w:t>купли-продажи</w:t>
            </w:r>
          </w:p>
        </w:tc>
      </w:tr>
      <w:tr>
        <w:trPr>
          <w:trHeight w:val="270" w:hRule="exact"/>
        </w:trPr>
        <w:tc>
          <w:tcPr>
            <w:tcW w:w="9450" w:type="dxa"/>
            <w:gridSpan w:val="10"/>
            <w:tcBorders/>
            <w:shd w:color="FFFFFF" w:fill="auto" w:val="clear"/>
          </w:tcPr>
          <w:p>
            <w:pPr>
              <w:pStyle w:val="Normal"/>
              <w:bidi w:val="0"/>
              <w:spacing w:lineRule="auto" w:line="240" w:before="0" w:after="0"/>
              <w:jc w:val="both"/>
              <w:rPr>
                <w:rFonts w:ascii="Times New Roman" w:hAnsi="Times New Roman"/>
                <w:sz w:val="20"/>
                <w:szCs w:val="20"/>
              </w:rPr>
            </w:pPr>
            <w:r>
              <w:rPr>
                <w:rFonts w:ascii="Arial" w:hAnsi="Arial"/>
                <w:kern w:val="0"/>
                <w:sz w:val="16"/>
                <w:szCs w:val="20"/>
              </w:rPr>
            </w:r>
          </w:p>
        </w:tc>
        <w:tc>
          <w:tcPr>
            <w:tcW w:w="943" w:type="dxa"/>
            <w:tcBorders/>
            <w:shd w:color="FFFFFF" w:fill="auto" w:val="clear"/>
            <w:vAlign w:val="bottom"/>
          </w:tcPr>
          <w:p>
            <w:pPr>
              <w:pStyle w:val="Normal"/>
              <w:bidi w:val="0"/>
              <w:spacing w:lineRule="auto" w:line="240" w:before="0" w:after="0"/>
              <w:jc w:val="center"/>
              <w:rPr>
                <w:rFonts w:ascii="Times New Roman" w:hAnsi="Times New Roman"/>
                <w:b/>
                <w:sz w:val="20"/>
                <w:szCs w:val="20"/>
              </w:rPr>
            </w:pPr>
            <w:r>
              <w:rPr>
                <w:rFonts w:ascii="Times New Roman" w:hAnsi="Times New Roman"/>
                <w:b/>
                <w:kern w:val="0"/>
                <w:sz w:val="20"/>
                <w:szCs w:val="20"/>
              </w:rPr>
            </w:r>
          </w:p>
        </w:tc>
      </w:tr>
      <w:tr>
        <w:trPr>
          <w:trHeight w:val="300"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Мы, нижеподписавшиеся:</w:t>
            </w:r>
          </w:p>
        </w:tc>
      </w:tr>
      <w:tr>
        <w:trPr>
          <w:trHeight w:val="1695"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 xml:space="preserve">Гражданин РФ Алиев Александр Рустемович (01.02.1980г.р., место рожд: пос. Ключевой Серовского р-на Свердловской обл., адрес рег: 624995, Свердловская обл, Серовский р-н, Ключевой п, Совхозная ул, дом № 12, квартира 2, СНИЛС02674303845, ИНН 663210253022, паспорт РФ серия 6510, номер 997315, выдан 02.11.2010, кем выдан Отделом УФМС России по Свердловской области городе Серове , код подразделения 660073), в лице Гражданина РФ Финансового управляющего Сергиенко Светланы Данисовны (ИНН 744201856386, СНИЛС 14083812042, рег.номер 22154), действующего на основании решения Арбитражного суда Свердловской области от 21.02.2024г. по делу №А60-3081/2024, именуемый в дальнейшем «Продавец», с одной стороны, и </w:t>
            </w:r>
          </w:p>
        </w:tc>
      </w:tr>
      <w:tr>
        <w:trPr>
          <w:trHeight w:val="495"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300" w:hRule="exact"/>
        </w:trPr>
        <w:tc>
          <w:tcPr>
            <w:tcW w:w="10393" w:type="dxa"/>
            <w:gridSpan w:val="11"/>
            <w:tcBorders/>
            <w:shd w:color="FFFFFF" w:fill="auto" w:val="clear"/>
            <w:vAlign w:val="bottom"/>
          </w:tcPr>
          <w:p>
            <w:pPr>
              <w:pStyle w:val="Normal"/>
              <w:bidi w:val="0"/>
              <w:spacing w:lineRule="auto" w:line="240" w:before="0" w:after="0"/>
              <w:jc w:val="center"/>
              <w:rPr>
                <w:rFonts w:ascii="Times New Roman" w:hAnsi="Times New Roman"/>
                <w:b/>
                <w:sz w:val="20"/>
                <w:szCs w:val="20"/>
              </w:rPr>
            </w:pPr>
            <w:r>
              <w:rPr>
                <w:rFonts w:ascii="Times New Roman" w:hAnsi="Times New Roman"/>
                <w:b/>
                <w:kern w:val="0"/>
                <w:sz w:val="20"/>
                <w:szCs w:val="20"/>
              </w:rPr>
              <w:t>1.  Предмет договора</w:t>
            </w:r>
          </w:p>
        </w:tc>
      </w:tr>
      <w:tr>
        <w:trPr>
          <w:trHeight w:val="975"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1.1.  В соответствии с Протоколом №  от 02.07.2024г. по продаже имущества Алиева Александра Рустемовича,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w:t>
            </w:r>
          </w:p>
        </w:tc>
      </w:tr>
      <w:tr>
        <w:trPr>
          <w:trHeight w:val="735" w:hRule="exact"/>
        </w:trPr>
        <w:tc>
          <w:tcPr>
            <w:tcW w:w="10393" w:type="dxa"/>
            <w:gridSpan w:val="11"/>
            <w:tcBorders/>
            <w:shd w:color="FFFFFF" w:fill="FFFFFF"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kern w:val="0"/>
                <w:sz w:val="20"/>
                <w:szCs w:val="20"/>
              </w:rPr>
              <w:t>ЛОТ №1 - Земельный участок, площадь: 1 128м², адрес (местонахождение): 624992, РОССИЯ, Свердловская обл, , г Серов, ул Ясная, 3, категория земель: Земли населенных пунктов, разрешенное использование: Под индивидуальное жилищное строительство, кадастровый номер: 66:61:0221001:364.</w:t>
            </w:r>
          </w:p>
        </w:tc>
      </w:tr>
      <w:tr>
        <w:trPr>
          <w:trHeight w:val="300"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Право собственности зарегистрировано в установленном законом порядке (далее по тексту - «Имущество»).</w:t>
            </w:r>
          </w:p>
        </w:tc>
      </w:tr>
      <w:tr>
        <w:trPr>
          <w:trHeight w:val="495"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1.2. На момент составления Договора купли-продажи на вышеуказанном имуществе обременения/ограничения отсутствуют.</w:t>
            </w:r>
          </w:p>
        </w:tc>
      </w:tr>
      <w:tr>
        <w:trPr>
          <w:trHeight w:val="300" w:hRule="exact"/>
        </w:trPr>
        <w:tc>
          <w:tcPr>
            <w:tcW w:w="10393" w:type="dxa"/>
            <w:gridSpan w:val="11"/>
            <w:tcBorders/>
            <w:shd w:color="FFFFFF" w:fill="auto" w:val="clear"/>
            <w:vAlign w:val="bottom"/>
          </w:tcPr>
          <w:p>
            <w:pPr>
              <w:pStyle w:val="Normal"/>
              <w:bidi w:val="0"/>
              <w:spacing w:lineRule="auto" w:line="240" w:before="0" w:after="0"/>
              <w:jc w:val="center"/>
              <w:rPr>
                <w:rFonts w:ascii="Times New Roman" w:hAnsi="Times New Roman"/>
                <w:b/>
                <w:sz w:val="20"/>
                <w:szCs w:val="20"/>
              </w:rPr>
            </w:pPr>
            <w:r>
              <w:rPr>
                <w:rFonts w:ascii="Times New Roman" w:hAnsi="Times New Roman"/>
                <w:b/>
                <w:kern w:val="0"/>
                <w:sz w:val="20"/>
                <w:szCs w:val="20"/>
              </w:rPr>
              <w:t>2. Обязанности Сторон</w:t>
            </w:r>
          </w:p>
        </w:tc>
      </w:tr>
      <w:tr>
        <w:trPr>
          <w:trHeight w:val="300"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2.1. Продавец обязуется:</w:t>
            </w:r>
          </w:p>
        </w:tc>
      </w:tr>
      <w:tr>
        <w:trPr>
          <w:trHeight w:val="300"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2.1.1. Передать Покупателю имущество по акту приема-передачи.</w:t>
            </w:r>
          </w:p>
        </w:tc>
      </w:tr>
      <w:tr>
        <w:trPr>
          <w:trHeight w:val="735"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300"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2.2. Покупатель обязан:</w:t>
            </w:r>
          </w:p>
        </w:tc>
      </w:tr>
      <w:tr>
        <w:trPr>
          <w:trHeight w:val="285" w:hRule="exact"/>
        </w:trPr>
        <w:tc>
          <w:tcPr>
            <w:tcW w:w="10393" w:type="dxa"/>
            <w:gridSpan w:val="11"/>
            <w:tcBorders/>
            <w:shd w:color="FFFFFF" w:fill="auto" w:val="clear"/>
            <w:vAlign w:val="bottom"/>
          </w:tcPr>
          <w:p>
            <w:pPr>
              <w:pStyle w:val="Normal"/>
              <w:bidi w:val="0"/>
              <w:spacing w:lineRule="auto" w:line="240" w:before="0" w:after="0"/>
              <w:jc w:val="left"/>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2.2.1. Оплатить полную стоимость имущества в соответствии с настоящим договором.</w:t>
            </w:r>
          </w:p>
        </w:tc>
      </w:tr>
      <w:tr>
        <w:trPr>
          <w:trHeight w:val="495"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rHeight w:val="300" w:hRule="exact"/>
        </w:trPr>
        <w:tc>
          <w:tcPr>
            <w:tcW w:w="10393" w:type="dxa"/>
            <w:gridSpan w:val="11"/>
            <w:tcBorders/>
            <w:shd w:color="FFFFFF" w:fill="auto" w:val="clear"/>
            <w:vAlign w:val="bottom"/>
          </w:tcPr>
          <w:p>
            <w:pPr>
              <w:pStyle w:val="Normal"/>
              <w:bidi w:val="0"/>
              <w:spacing w:lineRule="auto" w:line="240" w:before="0" w:after="0"/>
              <w:jc w:val="center"/>
              <w:rPr>
                <w:rFonts w:ascii="Times New Roman" w:hAnsi="Times New Roman"/>
                <w:b/>
                <w:sz w:val="20"/>
                <w:szCs w:val="20"/>
              </w:rPr>
            </w:pPr>
            <w:r>
              <w:rPr>
                <w:rFonts w:ascii="Times New Roman" w:hAnsi="Times New Roman"/>
                <w:b/>
                <w:kern w:val="0"/>
                <w:sz w:val="20"/>
                <w:szCs w:val="20"/>
              </w:rPr>
              <w:t>3. Цена и порядок расчетов</w:t>
            </w:r>
          </w:p>
        </w:tc>
      </w:tr>
      <w:tr>
        <w:trPr>
          <w:trHeight w:val="300" w:hRule="exact"/>
        </w:trPr>
        <w:tc>
          <w:tcPr>
            <w:tcW w:w="10393" w:type="dxa"/>
            <w:gridSpan w:val="11"/>
            <w:tcBorders/>
            <w:shd w:color="FFFFFF" w:fill="auto" w:val="clear"/>
            <w:vAlign w:val="bottom"/>
          </w:tcPr>
          <w:p>
            <w:pPr>
              <w:pStyle w:val="Normal"/>
              <w:bidi w:val="0"/>
              <w:spacing w:lineRule="auto" w:line="240" w:before="0" w:after="0"/>
              <w:jc w:val="left"/>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3.1. Стоимость имущества составляет:</w:t>
            </w:r>
          </w:p>
        </w:tc>
      </w:tr>
      <w:tr>
        <w:trPr>
          <w:trHeight w:val="975"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0 (Ноль рублей 00 копеек) без учета НДС (подпункт 15 п.2 ст.146 НК), Задаток, оплаченный Покупателем, составляет 0 (Ноль рублей 00 копеек), итоговая сумма оплаты Покупателем составляет 0 (Ноль рублей 00 копеек). Цена настоящего договора установлена по результатам проведения торгов, которые проводились 02.07.2024г. на сайте https://lot-online.ru/, и указана в Протоколе  от 02.07.2024г. является окончательной и изменению не подлежит.</w:t>
            </w:r>
          </w:p>
        </w:tc>
      </w:tr>
      <w:tr>
        <w:trPr>
          <w:trHeight w:val="525"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495"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 xml:space="preserve">3.3. Оплата стоимости имущества по настоящему договору осуществляется Покупателем безналичным платежом на расчетный счет:  </w:t>
            </w:r>
          </w:p>
        </w:tc>
      </w:tr>
      <w:tr>
        <w:trPr>
          <w:trHeight w:val="1695" w:hRule="exact"/>
        </w:trPr>
        <w:tc>
          <w:tcPr>
            <w:tcW w:w="10393" w:type="dxa"/>
            <w:gridSpan w:val="11"/>
            <w:tcBorders/>
            <w:shd w:color="FFFFFF" w:fill="auto" w:val="clear"/>
            <w:vAlign w:val="bottom"/>
          </w:tcPr>
          <w:p>
            <w:pPr>
              <w:pStyle w:val="Normal"/>
              <w:bidi w:val="0"/>
              <w:spacing w:lineRule="auto" w:line="240" w:before="0" w:after="0"/>
              <w:jc w:val="left"/>
              <w:rPr>
                <w:rFonts w:ascii="Times New Roman" w:hAnsi="Times New Roman"/>
                <w:sz w:val="20"/>
                <w:szCs w:val="20"/>
              </w:rPr>
            </w:pPr>
            <w:r>
              <w:rPr>
                <w:rFonts w:ascii="Times New Roman" w:hAnsi="Times New Roman"/>
                <w:kern w:val="0"/>
                <w:sz w:val="20"/>
                <w:szCs w:val="20"/>
              </w:rPr>
              <w:t>Наименование банка: ФИЛИАЛ "ЦЕНТРАЛЬНЫЙ" ПАО "СОВКОМБАНК"</w:t>
              <w:br/>
              <w:t>ИНН 4401116480</w:t>
              <w:br/>
              <w:t>ОГРН 1144400000425</w:t>
              <w:br/>
              <w:t>БИК 045004763</w:t>
              <w:br/>
              <w:t>КПП 440101001</w:t>
              <w:br/>
              <w:t>к/сч 30101810150040000763</w:t>
              <w:br/>
              <w:t>счет Алиева Александра Рустемовича 40817810350174731200</w:t>
            </w:r>
          </w:p>
        </w:tc>
      </w:tr>
      <w:tr>
        <w:trPr>
          <w:trHeight w:val="300" w:hRule="exact"/>
        </w:trPr>
        <w:tc>
          <w:tcPr>
            <w:tcW w:w="10393" w:type="dxa"/>
            <w:gridSpan w:val="11"/>
            <w:tcBorders/>
            <w:shd w:color="FFFFFF" w:fill="auto" w:val="clear"/>
            <w:vAlign w:val="bottom"/>
          </w:tcPr>
          <w:p>
            <w:pPr>
              <w:pStyle w:val="Normal"/>
              <w:bidi w:val="0"/>
              <w:spacing w:lineRule="auto" w:line="240" w:before="0" w:after="0"/>
              <w:jc w:val="left"/>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в течение тридцати дней с даты подписания настоящего договора.</w:t>
            </w:r>
          </w:p>
        </w:tc>
      </w:tr>
      <w:tr>
        <w:trPr>
          <w:trHeight w:val="735"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300" w:hRule="exact"/>
        </w:trPr>
        <w:tc>
          <w:tcPr>
            <w:tcW w:w="10393" w:type="dxa"/>
            <w:gridSpan w:val="11"/>
            <w:tcBorders/>
            <w:shd w:color="FFFFFF" w:fill="auto" w:val="clear"/>
            <w:vAlign w:val="bottom"/>
          </w:tcPr>
          <w:p>
            <w:pPr>
              <w:pStyle w:val="Normal"/>
              <w:bidi w:val="0"/>
              <w:spacing w:lineRule="auto" w:line="240" w:before="0" w:after="0"/>
              <w:jc w:val="center"/>
              <w:rPr>
                <w:rFonts w:ascii="Times New Roman" w:hAnsi="Times New Roman"/>
                <w:b/>
                <w:sz w:val="20"/>
                <w:szCs w:val="20"/>
              </w:rPr>
            </w:pPr>
            <w:r>
              <w:rPr>
                <w:rFonts w:ascii="Times New Roman" w:hAnsi="Times New Roman"/>
                <w:b/>
                <w:kern w:val="0"/>
                <w:sz w:val="20"/>
                <w:szCs w:val="20"/>
              </w:rPr>
              <w:t>4. Передача имущества и переход риска случайной гибели имущества</w:t>
            </w:r>
          </w:p>
        </w:tc>
      </w:tr>
      <w:tr>
        <w:trPr>
          <w:trHeight w:val="930"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0"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5"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285" w:hRule="exact"/>
        </w:trPr>
        <w:tc>
          <w:tcPr>
            <w:tcW w:w="10393" w:type="dxa"/>
            <w:gridSpan w:val="11"/>
            <w:tcBorders/>
            <w:shd w:color="FFFFFF" w:fill="auto" w:val="clear"/>
            <w:vAlign w:val="bottom"/>
          </w:tcPr>
          <w:p>
            <w:pPr>
              <w:pStyle w:val="Normal"/>
              <w:bidi w:val="0"/>
              <w:spacing w:lineRule="auto" w:line="240" w:before="0" w:after="0"/>
              <w:jc w:val="center"/>
              <w:rPr>
                <w:rFonts w:ascii="Times New Roman" w:hAnsi="Times New Roman"/>
                <w:b/>
                <w:sz w:val="20"/>
                <w:szCs w:val="20"/>
              </w:rPr>
            </w:pPr>
            <w:r>
              <w:rPr>
                <w:rFonts w:ascii="Times New Roman" w:hAnsi="Times New Roman"/>
                <w:b/>
                <w:kern w:val="0"/>
                <w:sz w:val="20"/>
                <w:szCs w:val="20"/>
              </w:rPr>
              <w:t>5. Возникновение права собственности</w:t>
            </w:r>
          </w:p>
        </w:tc>
      </w:tr>
      <w:tr>
        <w:trPr>
          <w:trHeight w:val="585"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5.1. Право собственности на имущество переходит от Продавца к Покупателю в момент государственной регистрации права собственности.</w:t>
            </w:r>
          </w:p>
        </w:tc>
      </w:tr>
      <w:tr>
        <w:trPr>
          <w:trHeight w:val="285" w:hRule="exact"/>
        </w:trPr>
        <w:tc>
          <w:tcPr>
            <w:tcW w:w="10393" w:type="dxa"/>
            <w:gridSpan w:val="11"/>
            <w:tcBorders/>
            <w:shd w:color="FFFFFF" w:fill="auto" w:val="clear"/>
            <w:vAlign w:val="bottom"/>
          </w:tcPr>
          <w:p>
            <w:pPr>
              <w:pStyle w:val="Normal"/>
              <w:bidi w:val="0"/>
              <w:spacing w:lineRule="auto" w:line="240" w:before="0" w:after="0"/>
              <w:jc w:val="center"/>
              <w:rPr>
                <w:rFonts w:ascii="Times New Roman" w:hAnsi="Times New Roman"/>
                <w:b/>
                <w:sz w:val="20"/>
                <w:szCs w:val="20"/>
              </w:rPr>
            </w:pPr>
            <w:r>
              <w:rPr>
                <w:rFonts w:ascii="Times New Roman" w:hAnsi="Times New Roman"/>
                <w:b/>
                <w:kern w:val="0"/>
                <w:sz w:val="20"/>
                <w:szCs w:val="20"/>
              </w:rPr>
              <w:t>6. Ответственность Сторон</w:t>
            </w:r>
          </w:p>
        </w:tc>
      </w:tr>
      <w:tr>
        <w:trPr>
          <w:trHeight w:val="510"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25"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85" w:hRule="exact"/>
        </w:trPr>
        <w:tc>
          <w:tcPr>
            <w:tcW w:w="10393" w:type="dxa"/>
            <w:gridSpan w:val="11"/>
            <w:tcBorders/>
            <w:shd w:color="FFFFFF" w:fill="auto" w:val="clear"/>
            <w:vAlign w:val="bottom"/>
          </w:tcPr>
          <w:p>
            <w:pPr>
              <w:pStyle w:val="Normal"/>
              <w:bidi w:val="0"/>
              <w:spacing w:lineRule="auto" w:line="240" w:before="0" w:after="0"/>
              <w:jc w:val="center"/>
              <w:rPr>
                <w:rFonts w:ascii="Times New Roman" w:hAnsi="Times New Roman"/>
                <w:b/>
                <w:sz w:val="20"/>
                <w:szCs w:val="20"/>
              </w:rPr>
            </w:pPr>
            <w:r>
              <w:rPr>
                <w:rFonts w:ascii="Times New Roman" w:hAnsi="Times New Roman"/>
                <w:b/>
                <w:kern w:val="0"/>
                <w:sz w:val="20"/>
                <w:szCs w:val="20"/>
              </w:rPr>
              <w:t>7. Порядок разрешения споров</w:t>
            </w:r>
          </w:p>
        </w:tc>
      </w:tr>
      <w:tr>
        <w:trPr>
          <w:trHeight w:val="540"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85" w:hRule="exact"/>
        </w:trPr>
        <w:tc>
          <w:tcPr>
            <w:tcW w:w="10393" w:type="dxa"/>
            <w:gridSpan w:val="11"/>
            <w:tcBorders/>
            <w:shd w:color="FFFFFF" w:fill="auto" w:val="clear"/>
            <w:vAlign w:val="bottom"/>
          </w:tcPr>
          <w:p>
            <w:pPr>
              <w:pStyle w:val="Normal"/>
              <w:bidi w:val="0"/>
              <w:spacing w:lineRule="auto" w:line="240" w:before="0" w:after="0"/>
              <w:jc w:val="center"/>
              <w:rPr>
                <w:rFonts w:ascii="Times New Roman" w:hAnsi="Times New Roman"/>
                <w:b/>
                <w:sz w:val="20"/>
                <w:szCs w:val="20"/>
              </w:rPr>
            </w:pPr>
            <w:r>
              <w:rPr>
                <w:rFonts w:ascii="Times New Roman" w:hAnsi="Times New Roman"/>
                <w:b/>
                <w:kern w:val="0"/>
                <w:sz w:val="20"/>
                <w:szCs w:val="20"/>
              </w:rPr>
              <w:t>8. Условия изменения и расторжения договора</w:t>
            </w:r>
          </w:p>
        </w:tc>
      </w:tr>
      <w:tr>
        <w:trPr>
          <w:trHeight w:val="585"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50"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r>
          </w:p>
        </w:tc>
      </w:tr>
      <w:tr>
        <w:trPr>
          <w:trHeight w:val="990"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r>
          </w:p>
        </w:tc>
      </w:tr>
      <w:tr>
        <w:trPr>
          <w:trHeight w:val="930"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br/>
              <w:br/>
            </w:r>
          </w:p>
        </w:tc>
      </w:tr>
      <w:tr>
        <w:trPr>
          <w:trHeight w:val="285" w:hRule="exact"/>
        </w:trPr>
        <w:tc>
          <w:tcPr>
            <w:tcW w:w="10393" w:type="dxa"/>
            <w:gridSpan w:val="11"/>
            <w:tcBorders/>
            <w:shd w:color="FFFFFF" w:fill="auto" w:val="clear"/>
            <w:vAlign w:val="bottom"/>
          </w:tcPr>
          <w:p>
            <w:pPr>
              <w:pStyle w:val="Normal"/>
              <w:bidi w:val="0"/>
              <w:spacing w:lineRule="auto" w:line="240" w:before="0" w:after="0"/>
              <w:jc w:val="center"/>
              <w:rPr>
                <w:rFonts w:ascii="Times New Roman" w:hAnsi="Times New Roman"/>
                <w:b/>
                <w:sz w:val="20"/>
                <w:szCs w:val="20"/>
              </w:rPr>
            </w:pPr>
            <w:r>
              <w:rPr>
                <w:rFonts w:ascii="Times New Roman" w:hAnsi="Times New Roman"/>
                <w:b/>
                <w:kern w:val="0"/>
                <w:sz w:val="20"/>
                <w:szCs w:val="20"/>
              </w:rPr>
              <w:t>9. Заключительные положения</w:t>
            </w:r>
          </w:p>
        </w:tc>
      </w:tr>
      <w:tr>
        <w:trPr>
          <w:trHeight w:val="585"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9.2. Сторонами договора рассмотрены все документы, подготовленные в связи с продажей имущества.</w:t>
            </w:r>
          </w:p>
        </w:tc>
      </w:tr>
      <w:tr>
        <w:trPr>
          <w:trHeight w:val="270"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9.3. Настоящий Договор составлен в 2-х экземплярах, имеющих одинаковую юридическую силу.</w:t>
            </w:r>
          </w:p>
        </w:tc>
      </w:tr>
      <w:tr>
        <w:trPr>
          <w:trHeight w:val="990"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85" w:hRule="exact"/>
        </w:trPr>
        <w:tc>
          <w:tcPr>
            <w:tcW w:w="10393" w:type="dxa"/>
            <w:gridSpan w:val="11"/>
            <w:tcBorders/>
            <w:shd w:color="FFFFFF" w:fill="auto" w:val="clear"/>
            <w:vAlign w:val="bottom"/>
          </w:tcPr>
          <w:p>
            <w:pPr>
              <w:pStyle w:val="Normal"/>
              <w:bidi w:val="0"/>
              <w:spacing w:lineRule="auto" w:line="240" w:before="0" w:after="0"/>
              <w:jc w:val="center"/>
              <w:rPr>
                <w:rFonts w:ascii="Times New Roman" w:hAnsi="Times New Roman"/>
                <w:b/>
                <w:sz w:val="20"/>
                <w:szCs w:val="20"/>
              </w:rPr>
            </w:pPr>
            <w:r>
              <w:rPr>
                <w:rFonts w:ascii="Times New Roman" w:hAnsi="Times New Roman"/>
                <w:b/>
                <w:kern w:val="0"/>
                <w:sz w:val="20"/>
                <w:szCs w:val="20"/>
              </w:rPr>
              <w:t>10. Реквизиты и подписи Сторон</w:t>
            </w:r>
          </w:p>
        </w:tc>
      </w:tr>
      <w:tr>
        <w:trPr>
          <w:trHeight w:val="285" w:hRule="exact"/>
        </w:trPr>
        <w:tc>
          <w:tcPr>
            <w:tcW w:w="4724" w:type="dxa"/>
            <w:gridSpan w:val="5"/>
            <w:tcBorders/>
            <w:shd w:color="FFFFFF" w:fill="auto" w:val="clear"/>
            <w:vAlign w:val="bottom"/>
          </w:tcPr>
          <w:p>
            <w:pPr>
              <w:pStyle w:val="Normal"/>
              <w:bidi w:val="0"/>
              <w:spacing w:lineRule="auto" w:line="240" w:before="0" w:after="0"/>
              <w:jc w:val="center"/>
              <w:rPr>
                <w:rFonts w:ascii="Times New Roman" w:hAnsi="Times New Roman"/>
                <w:b/>
                <w:sz w:val="20"/>
                <w:szCs w:val="20"/>
              </w:rPr>
            </w:pPr>
            <w:r>
              <w:rPr>
                <w:rFonts w:ascii="Times New Roman" w:hAnsi="Times New Roman"/>
                <w:b/>
                <w:kern w:val="0"/>
                <w:sz w:val="20"/>
                <w:szCs w:val="20"/>
              </w:rPr>
              <w:t>Продавец:</w:t>
            </w:r>
          </w:p>
        </w:tc>
        <w:tc>
          <w:tcPr>
            <w:tcW w:w="5669" w:type="dxa"/>
            <w:gridSpan w:val="6"/>
            <w:tcBorders/>
            <w:shd w:color="FFFFFF" w:fill="auto" w:val="clear"/>
            <w:vAlign w:val="bottom"/>
          </w:tcPr>
          <w:p>
            <w:pPr>
              <w:pStyle w:val="Normal"/>
              <w:bidi w:val="0"/>
              <w:spacing w:lineRule="auto" w:line="240" w:before="0" w:after="0"/>
              <w:jc w:val="center"/>
              <w:rPr>
                <w:rFonts w:ascii="Times New Roman" w:hAnsi="Times New Roman"/>
                <w:b/>
                <w:sz w:val="20"/>
                <w:szCs w:val="20"/>
              </w:rPr>
            </w:pPr>
            <w:r>
              <w:rPr>
                <w:rFonts w:ascii="Times New Roman" w:hAnsi="Times New Roman"/>
                <w:b/>
                <w:kern w:val="0"/>
                <w:sz w:val="20"/>
                <w:szCs w:val="20"/>
              </w:rPr>
              <w:t>Покупатель:</w:t>
            </w:r>
          </w:p>
        </w:tc>
      </w:tr>
      <w:tr>
        <w:trPr>
          <w:trHeight w:val="285" w:hRule="exact"/>
        </w:trPr>
        <w:tc>
          <w:tcPr>
            <w:tcW w:w="4724" w:type="dxa"/>
            <w:gridSpan w:val="5"/>
            <w:tcBorders/>
            <w:shd w:color="FFFFFF" w:fill="auto" w:val="clear"/>
            <w:vAlign w:val="bottom"/>
          </w:tcPr>
          <w:p>
            <w:pPr>
              <w:pStyle w:val="Normal"/>
              <w:bidi w:val="0"/>
              <w:spacing w:lineRule="auto" w:line="240" w:before="0" w:after="0"/>
              <w:jc w:val="center"/>
              <w:rPr>
                <w:rFonts w:ascii="Times New Roman" w:hAnsi="Times New Roman"/>
                <w:b/>
                <w:sz w:val="20"/>
                <w:szCs w:val="20"/>
              </w:rPr>
            </w:pPr>
            <w:r>
              <w:rPr>
                <w:rFonts w:ascii="Times New Roman" w:hAnsi="Times New Roman"/>
                <w:b/>
                <w:kern w:val="0"/>
                <w:sz w:val="20"/>
                <w:szCs w:val="20"/>
              </w:rPr>
              <w:t>Гражданин РФ</w:t>
            </w:r>
          </w:p>
        </w:tc>
        <w:tc>
          <w:tcPr>
            <w:tcW w:w="5669" w:type="dxa"/>
            <w:gridSpan w:val="6"/>
            <w:tcBorders/>
            <w:shd w:color="FFFFFF" w:fill="auto" w:val="clear"/>
            <w:vAlign w:val="bottom"/>
          </w:tcPr>
          <w:p>
            <w:pPr>
              <w:pStyle w:val="Normal"/>
              <w:bidi w:val="0"/>
              <w:spacing w:lineRule="auto" w:line="240" w:before="0" w:after="0"/>
              <w:jc w:val="center"/>
              <w:rPr>
                <w:rFonts w:ascii="Times New Roman" w:hAnsi="Times New Roman"/>
                <w:b/>
                <w:sz w:val="20"/>
                <w:szCs w:val="20"/>
              </w:rPr>
            </w:pPr>
            <w:r>
              <w:rPr>
                <w:rFonts w:ascii="Times New Roman" w:hAnsi="Times New Roman"/>
                <w:b/>
                <w:kern w:val="0"/>
                <w:sz w:val="20"/>
                <w:szCs w:val="20"/>
              </w:rPr>
              <w:t>Гражданин РФ</w:t>
            </w:r>
          </w:p>
        </w:tc>
      </w:tr>
      <w:tr>
        <w:trPr>
          <w:trHeight w:val="1935" w:hRule="exact"/>
        </w:trPr>
        <w:tc>
          <w:tcPr>
            <w:tcW w:w="4724" w:type="dxa"/>
            <w:gridSpan w:val="5"/>
            <w:tcBorders/>
            <w:shd w:color="FFFFFF" w:fill="auto" w:val="clear"/>
            <w:vAlign w:val="bottom"/>
          </w:tcPr>
          <w:p>
            <w:pPr>
              <w:pStyle w:val="Normal"/>
              <w:bidi w:val="0"/>
              <w:spacing w:lineRule="auto" w:line="240" w:before="0" w:after="0"/>
              <w:jc w:val="both"/>
              <w:rPr>
                <w:rFonts w:ascii="Times New Roman" w:hAnsi="Times New Roman"/>
                <w:b/>
                <w:sz w:val="20"/>
                <w:szCs w:val="20"/>
              </w:rPr>
            </w:pPr>
            <w:r>
              <w:rPr>
                <w:rFonts w:ascii="Times New Roman" w:hAnsi="Times New Roman"/>
                <w:b/>
                <w:kern w:val="0"/>
                <w:sz w:val="20"/>
                <w:szCs w:val="20"/>
              </w:rPr>
              <w:t>Алиев Александр Рустемович (01.02.1980г.р., место рожд: пос. Ключевой Серовского р-на Свердловской обл., адрес рег: 624995, Свердловская обл, Серовский р-н, Ключевой п, Совхозная ул, дом № 12, квартира 2, СНИЛС02674303845, ИНН 663210253022, паспорт РФ серия 6510, номер 997315, выдан 02.11.2010, кем выдан Отделом УФМС России по Свердловской области городе Серове , код подразделения 660073)</w:t>
            </w:r>
          </w:p>
        </w:tc>
        <w:tc>
          <w:tcPr>
            <w:tcW w:w="5669" w:type="dxa"/>
            <w:gridSpan w:val="6"/>
            <w:vMerge w:val="restart"/>
            <w:tcBorders/>
            <w:shd w:color="FFFFFF" w:fill="auto" w:val="clear"/>
          </w:tcPr>
          <w:p>
            <w:pPr>
              <w:pStyle w:val="Normal"/>
              <w:bidi w:val="0"/>
              <w:spacing w:lineRule="auto" w:line="240" w:before="0" w:after="0"/>
              <w:jc w:val="both"/>
              <w:rPr>
                <w:rFonts w:ascii="Times New Roman" w:hAnsi="Times New Roman"/>
                <w:b/>
                <w:sz w:val="20"/>
                <w:szCs w:val="20"/>
              </w:rPr>
            </w:pPr>
            <w:r>
              <w:rPr>
                <w:rFonts w:ascii="Times New Roman" w:hAnsi="Times New Roman"/>
                <w:b/>
                <w:kern w:val="0"/>
                <w:sz w:val="20"/>
                <w:szCs w:val="20"/>
              </w:rPr>
            </w:r>
          </w:p>
        </w:tc>
      </w:tr>
      <w:tr>
        <w:trPr>
          <w:trHeight w:val="2175" w:hRule="exact"/>
        </w:trPr>
        <w:tc>
          <w:tcPr>
            <w:tcW w:w="4724" w:type="dxa"/>
            <w:gridSpan w:val="5"/>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kern w:val="0"/>
                <w:sz w:val="20"/>
                <w:szCs w:val="20"/>
              </w:rPr>
              <w:t>Наименование банка: ФИЛИАЛ "ЦЕНТРАЛЬНЫЙ" ПАО "СОВКОМБАНК"</w:t>
              <w:br/>
              <w:t>ИНН 4401116480</w:t>
              <w:br/>
              <w:t>ОГРН 1144400000425</w:t>
              <w:br/>
              <w:t>БИК 045004763</w:t>
              <w:br/>
              <w:t>КПП 440101001</w:t>
              <w:br/>
              <w:t>к/сч 30101810150040000763</w:t>
              <w:br/>
              <w:t>счет Алиева Александра Рустемовича 40817810350174731200</w:t>
            </w:r>
          </w:p>
        </w:tc>
        <w:tc>
          <w:tcPr>
            <w:tcW w:w="5669" w:type="dxa"/>
            <w:gridSpan w:val="6"/>
            <w:vMerge w:val="continue"/>
            <w:tcBorders/>
            <w:shd w:color="FFFFFF" w:fill="auto" w:val="clear"/>
          </w:tcPr>
          <w:p>
            <w:pPr>
              <w:pStyle w:val="Normal"/>
              <w:bidi w:val="0"/>
              <w:spacing w:lineRule="auto" w:line="240" w:before="0" w:after="0"/>
              <w:jc w:val="both"/>
              <w:rPr>
                <w:rFonts w:ascii="Times New Roman" w:hAnsi="Times New Roman"/>
                <w:b/>
                <w:sz w:val="20"/>
                <w:szCs w:val="20"/>
              </w:rPr>
            </w:pPr>
            <w:r>
              <w:rPr>
                <w:rFonts w:ascii="Times New Roman" w:hAnsi="Times New Roman"/>
                <w:b/>
                <w:kern w:val="0"/>
                <w:sz w:val="20"/>
                <w:szCs w:val="20"/>
              </w:rPr>
            </w:r>
          </w:p>
        </w:tc>
      </w:tr>
      <w:tr>
        <w:trPr>
          <w:trHeight w:val="300" w:hRule="exact"/>
        </w:trPr>
        <w:tc>
          <w:tcPr>
            <w:tcW w:w="944" w:type="dxa"/>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kern w:val="0"/>
                <w:sz w:val="20"/>
                <w:szCs w:val="20"/>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kern w:val="0"/>
                <w:sz w:val="20"/>
                <w:szCs w:val="20"/>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kern w:val="0"/>
                <w:sz w:val="20"/>
                <w:szCs w:val="20"/>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kern w:val="0"/>
                <w:sz w:val="20"/>
                <w:szCs w:val="20"/>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kern w:val="0"/>
                <w:sz w:val="20"/>
                <w:szCs w:val="20"/>
              </w:rPr>
            </w:r>
          </w:p>
        </w:tc>
        <w:tc>
          <w:tcPr>
            <w:tcW w:w="5669" w:type="dxa"/>
            <w:gridSpan w:val="6"/>
            <w:vMerge w:val="continue"/>
            <w:tcBorders/>
            <w:shd w:color="FFFFFF" w:fill="auto" w:val="clear"/>
          </w:tcPr>
          <w:p>
            <w:pPr>
              <w:pStyle w:val="Normal"/>
              <w:bidi w:val="0"/>
              <w:spacing w:lineRule="auto" w:line="240" w:before="0" w:after="0"/>
              <w:jc w:val="both"/>
              <w:rPr>
                <w:rFonts w:ascii="Times New Roman" w:hAnsi="Times New Roman"/>
                <w:b/>
                <w:sz w:val="20"/>
                <w:szCs w:val="20"/>
              </w:rPr>
            </w:pPr>
            <w:r>
              <w:rPr>
                <w:rFonts w:ascii="Times New Roman" w:hAnsi="Times New Roman"/>
                <w:b/>
                <w:kern w:val="0"/>
                <w:sz w:val="20"/>
                <w:szCs w:val="20"/>
              </w:rPr>
            </w:r>
          </w:p>
        </w:tc>
      </w:tr>
      <w:tr>
        <w:trPr>
          <w:trHeight w:val="300" w:hRule="exact"/>
        </w:trPr>
        <w:tc>
          <w:tcPr>
            <w:tcW w:w="944" w:type="dxa"/>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kern w:val="0"/>
                <w:sz w:val="20"/>
                <w:szCs w:val="20"/>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kern w:val="0"/>
                <w:sz w:val="20"/>
                <w:szCs w:val="20"/>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kern w:val="0"/>
                <w:sz w:val="20"/>
                <w:szCs w:val="20"/>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kern w:val="0"/>
                <w:sz w:val="20"/>
                <w:szCs w:val="20"/>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kern w:val="0"/>
                <w:sz w:val="20"/>
                <w:szCs w:val="20"/>
              </w:rPr>
            </w:r>
          </w:p>
        </w:tc>
        <w:tc>
          <w:tcPr>
            <w:tcW w:w="5669" w:type="dxa"/>
            <w:gridSpan w:val="6"/>
            <w:vMerge w:val="continue"/>
            <w:tcBorders/>
            <w:shd w:color="FFFFFF" w:fill="auto" w:val="clear"/>
          </w:tcPr>
          <w:p>
            <w:pPr>
              <w:pStyle w:val="Normal"/>
              <w:bidi w:val="0"/>
              <w:spacing w:lineRule="auto" w:line="240" w:before="0" w:after="0"/>
              <w:jc w:val="both"/>
              <w:rPr>
                <w:rFonts w:ascii="Times New Roman" w:hAnsi="Times New Roman"/>
                <w:b/>
                <w:sz w:val="20"/>
                <w:szCs w:val="20"/>
              </w:rPr>
            </w:pPr>
            <w:r>
              <w:rPr>
                <w:rFonts w:ascii="Times New Roman" w:hAnsi="Times New Roman"/>
                <w:b/>
                <w:kern w:val="0"/>
                <w:sz w:val="20"/>
                <w:szCs w:val="20"/>
              </w:rPr>
            </w:r>
          </w:p>
        </w:tc>
      </w:tr>
      <w:tr>
        <w:trPr>
          <w:trHeight w:val="300" w:hRule="exact"/>
        </w:trPr>
        <w:tc>
          <w:tcPr>
            <w:tcW w:w="4724" w:type="dxa"/>
            <w:gridSpan w:val="5"/>
            <w:tcBorders/>
            <w:shd w:color="FFFFFF" w:fill="auto" w:val="clear"/>
            <w:vAlign w:val="bottom"/>
          </w:tcPr>
          <w:p>
            <w:pPr>
              <w:pStyle w:val="Normal"/>
              <w:bidi w:val="0"/>
              <w:spacing w:lineRule="auto" w:line="240" w:before="0" w:after="0"/>
              <w:jc w:val="both"/>
              <w:rPr>
                <w:rFonts w:ascii="Times New Roman" w:hAnsi="Times New Roman"/>
                <w:b/>
                <w:sz w:val="20"/>
                <w:szCs w:val="20"/>
              </w:rPr>
            </w:pPr>
            <w:r>
              <w:rPr>
                <w:rFonts w:ascii="Times New Roman" w:hAnsi="Times New Roman"/>
                <w:b/>
                <w:kern w:val="0"/>
                <w:sz w:val="20"/>
                <w:szCs w:val="20"/>
              </w:rPr>
              <w:t>Финансовый управляющий</w:t>
            </w:r>
          </w:p>
        </w:tc>
        <w:tc>
          <w:tcPr>
            <w:tcW w:w="946"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kern w:val="0"/>
                <w:sz w:val="22"/>
                <w:szCs w:val="22"/>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kern w:val="0"/>
                <w:sz w:val="22"/>
                <w:szCs w:val="22"/>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kern w:val="0"/>
                <w:sz w:val="22"/>
                <w:szCs w:val="22"/>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kern w:val="0"/>
                <w:sz w:val="22"/>
                <w:szCs w:val="22"/>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kern w:val="0"/>
                <w:sz w:val="22"/>
                <w:szCs w:val="22"/>
              </w:rPr>
            </w:r>
          </w:p>
        </w:tc>
        <w:tc>
          <w:tcPr>
            <w:tcW w:w="943"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kern w:val="0"/>
                <w:sz w:val="22"/>
                <w:szCs w:val="22"/>
              </w:rPr>
            </w:r>
          </w:p>
        </w:tc>
      </w:tr>
      <w:tr>
        <w:trPr>
          <w:trHeight w:val="300" w:hRule="exact"/>
        </w:trPr>
        <w:tc>
          <w:tcPr>
            <w:tcW w:w="4724" w:type="dxa"/>
            <w:gridSpan w:val="5"/>
            <w:tcBorders/>
            <w:shd w:color="FFFFFF" w:fill="auto" w:val="clear"/>
            <w:vAlign w:val="bottom"/>
          </w:tcPr>
          <w:p>
            <w:pPr>
              <w:pStyle w:val="Normal"/>
              <w:bidi w:val="0"/>
              <w:spacing w:lineRule="auto" w:line="240" w:before="0" w:after="0"/>
              <w:jc w:val="both"/>
              <w:rPr>
                <w:rFonts w:ascii="Times New Roman" w:hAnsi="Times New Roman"/>
                <w:b/>
                <w:sz w:val="20"/>
                <w:szCs w:val="20"/>
              </w:rPr>
            </w:pPr>
            <w:r>
              <w:rPr>
                <w:rFonts w:ascii="Times New Roman" w:hAnsi="Times New Roman"/>
                <w:b/>
                <w:kern w:val="0"/>
                <w:sz w:val="20"/>
                <w:szCs w:val="20"/>
              </w:rPr>
              <w:t>Алиева Александра Рустемовича</w:t>
            </w:r>
          </w:p>
        </w:tc>
        <w:tc>
          <w:tcPr>
            <w:tcW w:w="946"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kern w:val="0"/>
                <w:sz w:val="22"/>
                <w:szCs w:val="22"/>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kern w:val="0"/>
                <w:sz w:val="22"/>
                <w:szCs w:val="22"/>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kern w:val="0"/>
                <w:sz w:val="22"/>
                <w:szCs w:val="22"/>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kern w:val="0"/>
                <w:sz w:val="22"/>
                <w:szCs w:val="22"/>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kern w:val="0"/>
                <w:sz w:val="22"/>
                <w:szCs w:val="22"/>
              </w:rPr>
            </w:r>
          </w:p>
        </w:tc>
        <w:tc>
          <w:tcPr>
            <w:tcW w:w="943"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kern w:val="0"/>
                <w:sz w:val="22"/>
                <w:szCs w:val="22"/>
              </w:rPr>
            </w:r>
          </w:p>
        </w:tc>
      </w:tr>
      <w:tr>
        <w:trPr>
          <w:trHeight w:val="300" w:hRule="exact"/>
        </w:trPr>
        <w:tc>
          <w:tcPr>
            <w:tcW w:w="944" w:type="dxa"/>
            <w:tcBorders/>
            <w:shd w:color="FFFFFF" w:fill="auto" w:val="clear"/>
            <w:vAlign w:val="bottom"/>
          </w:tcPr>
          <w:p>
            <w:pPr>
              <w:pStyle w:val="Normal"/>
              <w:bidi w:val="0"/>
              <w:spacing w:lineRule="auto" w:line="240" w:before="0" w:after="0"/>
              <w:jc w:val="both"/>
              <w:rPr>
                <w:rFonts w:ascii="Times New Roman" w:hAnsi="Times New Roman"/>
                <w:b/>
                <w:sz w:val="20"/>
                <w:szCs w:val="20"/>
              </w:rPr>
            </w:pPr>
            <w:r>
              <w:rPr>
                <w:rFonts w:ascii="Times New Roman" w:hAnsi="Times New Roman"/>
                <w:b/>
                <w:kern w:val="0"/>
                <w:sz w:val="20"/>
                <w:szCs w:val="20"/>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kern w:val="0"/>
                <w:sz w:val="22"/>
                <w:szCs w:val="22"/>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kern w:val="0"/>
                <w:sz w:val="22"/>
                <w:szCs w:val="22"/>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kern w:val="0"/>
                <w:sz w:val="22"/>
                <w:szCs w:val="22"/>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kern w:val="0"/>
                <w:sz w:val="22"/>
                <w:szCs w:val="22"/>
              </w:rPr>
            </w:r>
          </w:p>
        </w:tc>
        <w:tc>
          <w:tcPr>
            <w:tcW w:w="946"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kern w:val="0"/>
                <w:sz w:val="22"/>
                <w:szCs w:val="22"/>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kern w:val="0"/>
                <w:sz w:val="22"/>
                <w:szCs w:val="22"/>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kern w:val="0"/>
                <w:sz w:val="22"/>
                <w:szCs w:val="22"/>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kern w:val="0"/>
                <w:sz w:val="22"/>
                <w:szCs w:val="22"/>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kern w:val="0"/>
                <w:sz w:val="22"/>
                <w:szCs w:val="22"/>
              </w:rPr>
            </w:r>
          </w:p>
        </w:tc>
        <w:tc>
          <w:tcPr>
            <w:tcW w:w="943"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kern w:val="0"/>
                <w:sz w:val="22"/>
                <w:szCs w:val="22"/>
              </w:rPr>
            </w:r>
          </w:p>
        </w:tc>
      </w:tr>
      <w:tr>
        <w:trPr>
          <w:trHeight w:val="360" w:hRule="exact"/>
        </w:trPr>
        <w:tc>
          <w:tcPr>
            <w:tcW w:w="2834" w:type="dxa"/>
            <w:gridSpan w:val="3"/>
            <w:tcBorders/>
            <w:shd w:color="FFFFFF" w:fill="auto" w:val="clear"/>
            <w:vAlign w:val="bottom"/>
          </w:tcPr>
          <w:p>
            <w:pPr>
              <w:pStyle w:val="Normal"/>
              <w:bidi w:val="0"/>
              <w:spacing w:lineRule="auto" w:line="240" w:before="0" w:after="0"/>
              <w:jc w:val="both"/>
              <w:rPr>
                <w:rFonts w:ascii="Times New Roman" w:hAnsi="Times New Roman"/>
                <w:b/>
                <w:sz w:val="20"/>
                <w:szCs w:val="20"/>
              </w:rPr>
            </w:pPr>
            <w:r>
              <w:rPr>
                <w:rFonts w:ascii="Times New Roman" w:hAnsi="Times New Roman"/>
                <w:b/>
                <w:kern w:val="0"/>
                <w:sz w:val="20"/>
                <w:szCs w:val="20"/>
              </w:rPr>
              <w:t>Сергиенко Светлана Данисовна</w:t>
            </w:r>
          </w:p>
        </w:tc>
        <w:tc>
          <w:tcPr>
            <w:tcW w:w="1890" w:type="dxa"/>
            <w:gridSpan w:val="2"/>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kern w:val="0"/>
                <w:sz w:val="22"/>
                <w:szCs w:val="22"/>
              </w:rPr>
              <w:t>______________</w:t>
            </w:r>
          </w:p>
        </w:tc>
        <w:tc>
          <w:tcPr>
            <w:tcW w:w="5669" w:type="dxa"/>
            <w:gridSpan w:val="6"/>
            <w:tcBorders/>
            <w:shd w:color="FFFFFF" w:fill="auto" w:val="clear"/>
            <w:vAlign w:val="bottom"/>
          </w:tcPr>
          <w:p>
            <w:pPr>
              <w:pStyle w:val="Normal"/>
              <w:bidi w:val="0"/>
              <w:spacing w:lineRule="auto" w:line="240" w:before="0" w:after="0"/>
              <w:jc w:val="both"/>
              <w:rPr>
                <w:rFonts w:ascii="Times New Roman" w:hAnsi="Times New Roman"/>
                <w:b/>
                <w:sz w:val="20"/>
                <w:szCs w:val="20"/>
              </w:rPr>
            </w:pPr>
            <w:r>
              <w:rPr>
                <w:rFonts w:ascii="Times New Roman" w:hAnsi="Times New Roman"/>
                <w:b/>
                <w:kern w:val="0"/>
                <w:sz w:val="20"/>
                <w:szCs w:val="20"/>
              </w:rPr>
            </w:r>
          </w:p>
        </w:tc>
      </w:tr>
    </w:tbl>
    <w:sectPr>
      <w:type w:val="nextPage"/>
      <w:pgSz w:w="11906" w:h="16838"/>
      <w:pgMar w:left="567" w:right="567" w:gutter="0" w:header="0" w:top="567" w:footer="0" w:bottom="567"/>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Liberation Sans">
    <w:altName w:val="Arial"/>
    <w:charset w:val="cc"/>
    <w:family w:val="swiss"/>
    <w:pitch w:val="variable"/>
  </w:font>
  <w:font w:name="Times New Roman">
    <w:charset w:val="cc"/>
    <w:family w:val="roman"/>
    <w:pitch w:val="variable"/>
  </w:font>
  <w:font w:name="Arial">
    <w:charset w:val="cc"/>
    <w:family w:val="roman"/>
    <w:pitch w:val="variable"/>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NSimSun" w:cs="Arial"/>
        <w:kern w:val="2"/>
        <w:sz w:val="22"/>
        <w:szCs w:val="24"/>
        <w:lang w:val="ru-RU" w:eastAsia="zh-CN" w:bidi="hi-IN"/>
      </w:rPr>
    </w:rPrDefault>
    <w:pPrDefault>
      <w:pPr>
        <w:suppressAutoHyphens w:val="true"/>
      </w:pPr>
    </w:pPrDefault>
  </w:docDefaults>
  <w:style w:type="paragraph" w:styleId="Normal">
    <w:name w:val="Normal"/>
    <w:qFormat/>
    <w:pPr>
      <w:widowControl w:val="false"/>
      <w:bidi w:val="0"/>
    </w:pPr>
    <w:rPr>
      <w:rFonts w:ascii="Calibri" w:hAnsi="Calibri" w:eastAsia="NSimSun" w:cs="Arial"/>
      <w:color w:val="auto"/>
      <w:kern w:val="2"/>
      <w:sz w:val="22"/>
      <w:szCs w:val="24"/>
      <w:lang w:val="ru-RU" w:eastAsia="zh-CN" w:bidi="hi-IN"/>
    </w:rPr>
  </w:style>
  <w:style w:type="paragraph" w:styleId="Style14">
    <w:name w:val="Заголовок"/>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Style15">
    <w:name w:val="Указатель"/>
    <w:basedOn w:val="Normal"/>
    <w:qFormat/>
    <w:pPr>
      <w:suppressLineNumbers/>
    </w:pPr>
    <w:rPr>
      <w:rFonts w:cs="Arial"/>
    </w:rPr>
  </w:style>
  <w:style w:type="table" w:styleId="TableStyle0">
    <w:name w:val="TableStyle0"/>
    <w:pPr>
      <w:spacing w:after="0" w:line="240" w:lineRule="auto"/>
    </w:pPr>
    <w:rPr>
      <w:sz w:val="16"/>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7</TotalTime>
  <Application>LibreOffice/7.6.4.1$Windows_X86_64 LibreOffice_project/e19e193f88cd6c0525a17fb7a176ed8e6a3e2aa1</Application>
  <AppVersion>15.0000</AppVersion>
  <Pages>3</Pages>
  <Words>1106</Words>
  <Characters>7944</Characters>
  <CharactersWithSpaces>9498</CharactersWithSpaces>
  <Paragraphs>58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ru-RU</dc:language>
  <cp:lastModifiedBy/>
  <dcterms:modified xsi:type="dcterms:W3CDTF">2024-05-23T16:40:30Z</dcterms:modified>
  <cp:revision>1</cp:revision>
  <dc:subject/>
  <dc:title/>
</cp:coreProperties>
</file>