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Default Extension="png" ContentType="image/png"/>
  <Override PartName="/word/settings.xml" ContentType="application/vnd.openxmlformats-officedocument.wordprocessingml.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webSettings.xml" ContentType="application/vnd.openxmlformats-officedocument.wordprocessingml.webSettings+xml"/>
</Types>
</file>

<file path=_rels/.rels>&#65279;<?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ve="http://schemas.openxmlformats.org/markup-compatibility/2006" xmlns:w="http://schemas.openxmlformats.org/wordprocessingml/2006/main" xmlns:w10="urn:schemas-microsoft-com:office:word" xmlns:wne="http://schemas.microsoft.com/office/word/2006/wordml">
  <w:body>
    <w:tbl>
      <w:tblPr>
        <w:tblStyle w:val="TableStyle0"/>
        <w:tblW w:w="10395" w:type="dxa"/>
        <w:tblLayout w:type="fixed"/>
        <w:tblCellMar>
          <w:left w:w="0" w:type="dxa"/>
          <w:right w:w="0" w:type="dxa"/>
        </w:tblCellMar>
        <w:tblLook w:val="04A0"/>
      </w:tblPr>
      <w:tblGrid>
        <w:gridCol w:w="945"/>
        <w:gridCol w:w="945"/>
        <w:gridCol w:w="945"/>
        <w:gridCol w:w="945"/>
        <w:gridCol w:w="945"/>
        <w:gridCol w:w="945"/>
        <w:gridCol w:w="945"/>
        <w:gridCol w:w="945"/>
        <w:gridCol w:w="945"/>
        <w:gridCol w:w="945"/>
        <w:gridCol w:w="945"/>
      </w:tblGrid>
      <w:tr>
        <w:trPr>
          <w:trHeight w:val="31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ДОГОВОР</w:t>
            </w:r>
          </w:p>
        </w:tc>
      </w:tr>
      <w:tr>
        <w:trPr>
          <w:trHeight w:val="27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купли-продажи</w:t>
            </w:r>
          </w:p>
        </w:tc>
      </w:tr>
      <w:tr>
        <w:trPr>
          <w:trHeight w:val="270" w:hRule="exact"/>
        </w:trPr>
        <w:tc>
          <w:tcPr>
            <w:tcW w:w="9450" w:type="dxa"/>
            <w:gridSpan w:val="10"/>
            <w:shd w:val="clear" w:color="FFFFFF" w:fill="auto"/>
            <w:textDirection w:val="lrTb"/>
            <w:vAlign w:val="top"/>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center"/>
              <w:rPr>
                <w:rFonts w:ascii="Times New Roman" w:hAnsi="Times New Roman"/>
                <w:b/>
                <w:sz w:val="20"/>
                <w:szCs w:val="20"/>
              </w:rPr>
            </w:pP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Мы, нижеподписавшиеся:</w:t>
            </w:r>
          </w:p>
        </w:tc>
      </w:tr>
      <w:tr>
        <w:trPr>
          <w:trHeight w:val="145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Мясников Сергей Адиевич (25.07.1970г.р., место рожд: гор. Саратов , адрес рег: 412973, Саратовская обл, Вольский р-н, Покурлей с, Октябрьская ул, дом № 53, СНИЛС05682966206, ИНН 644112808719, паспорт РФ серия 6315, номер 181550, выдан 02.09.2015, кем выдан Отделом УФМС России по Саратовской области в городе Вольске, код подразделения 640-014), в лице Гражданина РФ Финансового управляющего Кайзер Оксаны Викторовны (ИНН 744844918952, СНИЛС 14795875737, рег.номер 22340), действующего на основании решения Арбитражного суда Саратовской области от 29.01.2024г. по делу №А57-35135/2023, именуемый в дальнейшем «Продавец», с одной стороны, и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Гражданин РФ , именуемый в дальнейшем «Покупатель» с другой стороны, а совместно именуемые «Стороны», заключили настоящий договор о нижеследующем,</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  Предмет договора</w:t>
            </w:r>
          </w:p>
        </w:tc>
      </w:tr>
      <w:tr>
        <w:trPr>
          <w:trHeight w:val="145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ДоговорКуплиПродажиТекст2 </w:t>
              <w:br/>
              <w:t>
             1.1.  В соответствии с Протоколом №  от 02.07.2024г. по продаже имущества Мясникова Сергея Адиевича, размещенным на торговой площадке  АО "РАД" (https://lot-online.ru/)  (далее по тексту – "Протокол"), Продавец обязуется передать в собственность Покупателя, признанного Победителем указанных торгов, имущество, выигранное на этих торгах, а именно: Автомобиль легковой, марка: LADA, модель: GRANTA, VIN: XTA219110K0317137, год изготовления: 2019 (далее - Имущество).</w:t>
            </w:r>
          </w:p>
        </w:tc>
      </w:tr>
      <w:tr>
        <w:trPr>
          <w:trHeight w:val="300" w:hRule="exact"/>
        </w:trPr>
        <w:tc>
          <w:tcPr>
            <w:tcW w:w="10395" w:type="dxa"/>
            <w:gridSpan w:val="11"/>
            <w:shd w:val="clear" w:color="FFFFFF" w:fill="FFFFFF"/>
            <w:textDirection w:val="lrTb"/>
            <w:vAlign w:val="bottom"/>
          </w:tcPr>
          <w:p>
            <w:pPr>
              <w:wordWrap w:val="1"/>
              <w:jc w:val="both"/>
              <w:rPr>
                <w:rFonts w:ascii="Times New Roman" w:hAnsi="Times New Roman"/>
                <w:sz w:val="20"/>
                <w:szCs w:val="20"/>
              </w:rPr>
            </w:pP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1.2. Имущество принадлежит  Продавцу на праве собственности на основании Паспорта транспортного средства , Свидетельства о регистрации ТС .</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1.3. На момент составления Договора купли-продажи на вышеуказанном имуществе обременения/ограничения отсутствуют.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1.4. Имущество обеспечено обременением в виде залога в пользу АО "ЭКСПОБАНК" (ИНН 7708397772, ОГРН ____).</w:t>
              <w:br/>
              <w:t>
   Продажа имущества на торгах приводит к прекращению права залога (ипотеки) - пп. 4 п. 1 ст. 352 ГК РФ и абз. 6 п. 5 ст. 18.1 ФЗ «О несостоятельности (банкротстве)» от 26.10.2002 г. № 127-ФЗ.</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2. Обязанности Сторон</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 Продавец обязуется:</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2.1.1. Передать Покупателю Имущество по акту приема-передачи.</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2.1.2. Передать Покупателю по акту приема-передачи, все необходимые документы для регистрации перехода права собственности на выигранное на открытых торгах Имущество, в течение 30 (тридцати) рабочих дней с момента поступления на расчетный счет Продавца денежных средств в соответствии с настоящим договором.</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 Покупатель обязан:</w:t>
            </w:r>
          </w:p>
        </w:tc>
      </w:tr>
      <w:tr>
        <w:trPr>
          <w:trHeight w:val="28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2.2.1. Оплатить полную стоимость имущества в соответствии с настоящим договором.</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2.2.2. В течение 30 (тридцати) рабочих дней со дня исполнения всех своих обязательств, предусмотренных настоящим договором, принять от Продавца имущество по акту приема-передачи.</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3. Цена и порядок расчетов</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 xml:space="preserve">                3.1. Стоимость имущества составляет:</w:t>
            </w:r>
          </w:p>
        </w:tc>
      </w:tr>
      <w:tr>
        <w:trPr>
          <w:trHeight w:val="9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(Ноль) рублей 00 копеек без учета НДС (подпункт 15 п.2 ст.146 НК), Задаток, оплаченный Покупателем, составляет  (Ноль) рублей 00 копеек, итоговая сумма оплаты Покупателем составляет ( (Ноль) рублей 00 копеек. Цена настоящего договора установлена по результатам проведения торгов, которые проводились 02.07.2024г. на сайте https://lot-online.ru/, является окончательной и изменению не подлежит.</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3.2. Расходы по переходу права собственности и иные, не указанные в настоящем договоре возможные расходы, необходимые для исполнения договорных обязательств, несет Покупатель.</w:t>
            </w:r>
          </w:p>
        </w:tc>
      </w:tr>
      <w:tr>
        <w:trPr>
          <w:trHeight w:val="4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3.3. Оплата стоимости имущества по настоящему договору осуществляется Покупателем безналичным платежом на расчетный счет:</w:t>
            </w:r>
          </w:p>
        </w:tc>
      </w:tr>
      <w:tr>
        <w:trPr>
          <w:trHeight w:val="1695"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Наименование банка: ФИЛИАЛ "ЦЕНТРАЛЬНЫЙ" ПАО "СОВКОМБАНК" </w:t>
              <w:br/>
              <w:t>
ИНН 4401116480</w:t>
              <w:br/>
              <w:t>
ОГРН 1144400000425</w:t>
              <w:br/>
              <w:t>
БИК 045004763</w:t>
              <w:br/>
              <w:t>
КПП 440101001</w:t>
              <w:br/>
              <w:t>
к/сч 30101810150040000763</w:t>
              <w:br/>
              <w:t>
счет Мясникова Сергея Адиевича 40817810950174872433,</w:t>
            </w:r>
          </w:p>
        </w:tc>
      </w:tr>
      <w:tr>
        <w:trPr>
          <w:trHeight w:val="300" w:hRule="exact"/>
        </w:trPr>
        <w:tc>
          <w:tcPr>
            <w:tcW w:w="10395" w:type="dxa"/>
            <w:gridSpan w:val="11"/>
            <w:shd w:val="clear" w:color="FFFFFF" w:fill="auto"/>
            <w:textDirection w:val="lrTb"/>
            <w:vAlign w:val="bottom"/>
          </w:tcPr>
          <w:p>
            <w:pPr>
              <w:wordWrap w:val="1"/>
              <w:jc w:val="left"/>
              <w:rPr>
                <w:rFonts w:ascii="Times New Roman" w:hAnsi="Times New Roman"/>
                <w:sz w:val="20"/>
                <w:szCs w:val="20"/>
              </w:rPr>
            </w:pPr>
            <w:r>
              <w:rPr>
                <w:rFonts w:ascii="Times New Roman" w:hAnsi="Times New Roman"/>
                <w:sz w:val="20"/>
                <w:szCs w:val="20"/>
              </w:rPr>
              <w:t>в течение тридцати дней с даты подписания настоящего договора.</w:t>
            </w:r>
          </w:p>
        </w:tc>
      </w:tr>
      <w:tr>
        <w:trPr>
          <w:trHeight w:val="73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Моментом надлежащей оплаты по настоящему договору считать момент перечисления банком Покупателя либо банком-корреспондентом предусмотренных настоящим договором сумм в банк Продавца для их дальнейшего зачисления на счет Продавца.</w:t>
            </w:r>
          </w:p>
        </w:tc>
      </w:tr>
      <w:tr>
        <w:trPr>
          <w:trHeight w:val="300"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4. Передача имущества и переход риска случайной гибели имущества</w:t>
            </w:r>
          </w:p>
        </w:tc>
      </w:tr>
      <w:tr>
        <w:trPr>
          <w:trHeight w:val="93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4.1. Продавец в течение 30 (тридцати) рабочих дней со дня исполнения Покупателем всех своих обязательств, предусмотренных настоящим договором, обязан передать Покупателю Имущество. Передача имущества осуществляется посредством подписания Сторонами акта приема-передачи. Момент подписания акта приема-передачи является моментом передачи Имущества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4.2. Стороны договора определили, что Продавец осуществляет подготовку Имущества к передаче его Покупателю, в том числе составление и представление на подписание акта приема-передачи. Указанные действия осуществляются Продавцом своими силами и за свой счет.</w:t>
            </w:r>
          </w:p>
        </w:tc>
      </w:tr>
      <w:tr>
        <w:trPr>
          <w:trHeight w:val="79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4.3. Имущество, полагают Стороны договора, будет считаться переданным от Продавца Покупателю с момента подписания акта приема-передачи обеими Сторонами договора. С этого момента на Покупателя переходит риск случайной гибели или случайного повреждения имущества, переданного Покупателю.</w:t>
            </w:r>
          </w:p>
        </w:tc>
      </w:tr>
      <w:tr>
        <w:trPr>
          <w:trHeight w:val="6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4.4. В случае, если Покупатель уклоняется от подписания акта приема-передачи по истечении 30 (тридцати) рабочих дней со дня исполнения Покупателем всех своих обязательств, риск случайной гибели или случайного повреждения Имущества переходит на него.</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5. Возникновение права собственности</w:t>
            </w:r>
          </w:p>
        </w:tc>
      </w:tr>
      <w:tr>
        <w:trPr>
          <w:trHeight w:val="127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5.1. Право собственности Имуществом возникает у Покупателя с момента подписания акта приема-передачи Имуществом либо по истечении 30 (тридцати) рабочих дней со дня исполнения Покупателем всех своих обязательств в случае, если Покупатель уклоняется от подписания акта приема-передачи. Покупатель до подписания настоящего договора ознакомился с техническим состоянием Имущества. Имущество передано в надлежащем качественном состоянии.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6. Ответственность Сторон</w:t>
            </w:r>
          </w:p>
        </w:tc>
      </w:tr>
      <w:tr>
        <w:trPr>
          <w:trHeight w:val="51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6.1. Любая из Сторон настоящего договора, не исполнившая обязательства по договору или исполнившая их ненадлежащим образом, несет ответственность за упомянутое при наличии вины (умысла или неосторожности).</w:t>
            </w:r>
          </w:p>
        </w:tc>
      </w:tr>
      <w:tr>
        <w:trPr>
          <w:trHeight w:val="52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6.2. Отсутствие вины за неисполнение или ненадлежащее исполнение обязательств по договору доказывается Стороной, нарушившей обязательства.</w:t>
            </w:r>
          </w:p>
        </w:tc>
      </w:tr>
      <w:tr>
        <w:trPr>
          <w:trHeight w:val="22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6.3.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 е. чрезвычайных и непредотвратимых обстоятельств при конкретных условиях конкретного периода времени. К обстоятельствам непреодолимой силы Стороны настоящего договора отнесли такие: явления стихийного характера (землетрясение, наводнение, удар молнии, извержение вулкана, сель, оползень, цунами и т. 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7. Порядок разрешения споров</w:t>
            </w:r>
          </w:p>
        </w:tc>
      </w:tr>
      <w:tr>
        <w:trPr>
          <w:trHeight w:val="54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7.1. Споры, вытекающие из настоящего Договора, подлежат рассмотрению в арбитражном суде в порядке, предусмотренном действующим законодательством РФ.</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8. Условия изменения и расторжения договора</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8.1. Расторжение настоящего договора осуществляется в порядке, предусмотренном законодательством Российской Федерации, без возврата внесенного задатка.</w:t>
            </w:r>
          </w:p>
        </w:tc>
      </w:tr>
      <w:tr>
        <w:trPr>
          <w:trHeight w:val="76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8.2. Если покупатель в нарушение договора купли-продажи отказывается принять и оплатить товар, продавец вправе по своему выбору потребовать оплаты товара либо отказаться от исполнения договора  (п. 4 ст. 486 Гражданского Кодекса Российской Федерации).</w:t>
              <w:br/>
              <w:t>
</w:t>
            </w:r>
          </w:p>
        </w:tc>
      </w:tr>
      <w:tr>
        <w:trPr>
          <w:trHeight w:val="102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8.3. Право на односторонний отказ от договора (исполнения договора) (статья 310 Гражданского Кодекса Российской Федерации) может быть осуществлено управомоченной стороной путем уведомления другой стороны об отказе от договора (исполнения договора). Договор прекращается с момента получения данного уведомления, если иное не предусмотрено настоящим Кодексом, другими законами, иными правовыми актами или договором.</w:t>
              <w:br/>
              <w:t>
</w:t>
            </w:r>
          </w:p>
        </w:tc>
      </w:tr>
      <w:tr>
        <w:trPr>
          <w:trHeight w:val="78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В случае одностороннего отказа от договора (исполнения договора) полностью или частично, если такой отказ допускается, договор считается расторгнутым или измененным. (пп. 1, 2 Статья 450.1. Гражданского Кодекса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9. Заключительные положения</w:t>
            </w:r>
          </w:p>
        </w:tc>
      </w:tr>
      <w:tr>
        <w:trPr>
          <w:trHeight w:val="585"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9.1. Настоящий договор вступает в силу с момента его подписания и действует до момента окончания исполнения Сторонами договора своих обязательств по нему.</w:t>
            </w:r>
          </w:p>
        </w:tc>
      </w:tr>
      <w:tr>
        <w:trPr>
          <w:trHeight w:val="30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9.2. Сторонами договора рассмотрены все документы, подготовленные в связи с продажей имущества.</w:t>
            </w:r>
          </w:p>
        </w:tc>
      </w:tr>
      <w:tr>
        <w:trPr>
          <w:trHeight w:val="27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9.3. Настоящий Договор составлен в 2-х экземплярах, имеющих одинаковую юридическую силу.</w:t>
            </w:r>
          </w:p>
        </w:tc>
      </w:tr>
      <w:tr>
        <w:trPr>
          <w:trHeight w:val="990" w:hRule="exact"/>
        </w:trPr>
        <w:tc>
          <w:tcPr>
            <w:tcW w:w="10395" w:type="dxa"/>
            <w:gridSpan w:val="11"/>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 xml:space="preserve">               9.4. По всем вопросам, не нашедшим решения в условиях настоящего договора, но прямо или косвенно вытекающим из отношений Сторон по нему, затрагивающих имущественные интересы и деловую репутацию Сторон настоящего договора, имея в виду необходимости защиты их охраняемых законом прав и интересов, Стороны настоящего договора будут руководствоваться нормами и положениями действующего законодательства Российской Федерации.</w:t>
            </w:r>
          </w:p>
        </w:tc>
      </w:tr>
      <w:tr>
        <w:trPr>
          <w:trHeight w:val="285" w:hRule="exact"/>
        </w:trPr>
        <w:tc>
          <w:tcPr>
            <w:tcW w:w="10395" w:type="dxa"/>
            <w:gridSpan w:val="11"/>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10. Реквизиты и подписи Сторон</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Продавец:</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Покупатель:</w:t>
            </w:r>
          </w:p>
        </w:tc>
      </w:tr>
      <w:tr>
        <w:trPr>
          <w:trHeight w:val="285" w:hRule="exact"/>
        </w:trPr>
        <w:tc>
          <w:tcPr>
            <w:tcW w:w="4725" w:type="dxa"/>
            <w:gridSpan w:val="5"/>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c>
          <w:tcPr>
            <w:tcW w:w="5670" w:type="dxa"/>
            <w:gridSpan w:val="6"/>
            <w:shd w:val="clear" w:color="FFFFFF" w:fill="auto"/>
            <w:textDirection w:val="lrTb"/>
            <w:vAlign w:val="bottom"/>
          </w:tcPr>
          <w:p>
            <w:pPr>
              <w:wordWrap w:val="1"/>
              <w:jc w:val="center"/>
              <w:rPr>
                <w:rFonts w:ascii="Times New Roman" w:hAnsi="Times New Roman"/>
                <w:b/>
                <w:sz w:val="20"/>
                <w:szCs w:val="20"/>
              </w:rPr>
            </w:pPr>
            <w:r>
              <w:rPr>
                <w:rFonts w:ascii="Times New Roman" w:hAnsi="Times New Roman"/>
                <w:b/>
                <w:sz w:val="20"/>
                <w:szCs w:val="20"/>
              </w:rPr>
              <w:t>Гражданин РФ</w:t>
            </w:r>
          </w:p>
        </w:tc>
      </w:tr>
      <w:tr>
        <w:trPr>
          <w:trHeight w:val="1935"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Мясников Сергей Адиевич (25.07.1970г.р., место рожд: гор. Саратов , адрес рег: 412973, Саратовская обл, Вольский р-н, Покурлей с, Октябрьская ул, дом № 53, СНИЛС05682966206, ИНН 644112808719, паспорт РФ серия 6315, номер 181550, выдан 02.09.2015, кем выдан Отделом УФМС России по Саратовской области в городе Вольске, код подразделения 640-014)</w:t>
            </w:r>
          </w:p>
        </w:tc>
        <w:tc>
          <w:tcPr>
            <w:tcW w:w="5670" w:type="dxa"/>
            <w:gridSpan w:val="6"/>
            <w:vMerge w:val="restart"/>
            <w:shd w:val="clear" w:color="FFFFFF" w:fill="auto"/>
            <w:textDirection w:val="lrTb"/>
            <w:vAlign w:val="top"/>
          </w:tcPr>
          <w:p>
            <w:pPr>
              <w:wordWrap w:val="1"/>
              <w:jc w:val="both"/>
              <w:rPr>
                <w:rFonts w:ascii="Times New Roman" w:hAnsi="Times New Roman"/>
                <w:b/>
                <w:sz w:val="20"/>
                <w:szCs w:val="20"/>
              </w:rPr>
            </w:pPr>
          </w:p>
        </w:tc>
      </w:tr>
      <w:tr>
        <w:trPr>
          <w:trHeight w:val="2175"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r>
              <w:rPr>
                <w:rFonts w:ascii="Times New Roman" w:hAnsi="Times New Roman"/>
                <w:sz w:val="20"/>
                <w:szCs w:val="20"/>
              </w:rPr>
              <w:t>Наименование банка: ФИЛИАЛ "ЦЕНТРАЛЬНЫЙ" ПАО "СОВКОМБАНК" </w:t>
              <w:br/>
              <w:t>
ИНН 4401116480</w:t>
              <w:br/>
              <w:t>
ОГРН 1144400000425</w:t>
              <w:br/>
              <w:t>
БИК 045004763</w:t>
              <w:br/>
              <w:t>
КПП 440101001</w:t>
              <w:br/>
              <w:t>
к/сч 30101810150040000763</w:t>
              <w:br/>
              <w:t>
счет Мясникова Сергея Адиевича 40817810950174872433,</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left"/>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945" w:type="dxa"/>
            <w:shd w:val="clear" w:color="FFFFFF" w:fill="auto"/>
            <w:textDirection w:val="lrTb"/>
            <w:vAlign w:val="bottom"/>
          </w:tcPr>
          <w:p>
            <w:pPr>
              <w:wordWrap w:val="1"/>
              <w:jc w:val="both"/>
              <w:rPr>
                <w:rFonts w:ascii="Times New Roman" w:hAnsi="Times New Roman"/>
                <w:sz w:val="20"/>
                <w:szCs w:val="20"/>
              </w:rPr>
            </w:pP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Финансовый управляющий</w:t>
            </w:r>
          </w:p>
        </w:tc>
        <w:tc>
          <w:tcPr>
            <w:tcW w:w="5670" w:type="dxa"/>
            <w:gridSpan w:val="6"/>
            <w:vMerge w:val="continue"/>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Мясникова Сергея Адиевича</w:t>
            </w: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c>
          <w:tcPr>
            <w:tcW w:w="945" w:type="dxa"/>
            <w:shd w:val="clear" w:color="FFFFFF" w:fill="auto"/>
            <w:textDirection w:val="lrTb"/>
            <w:vAlign w:val="top"/>
          </w:tcPr>
          <w:p>
            <w:pPr>
              <w:wordWrap w:val="1"/>
              <w:jc w:val="both"/>
              <w:rPr>
                <w:rFonts w:ascii="Times New Roman" w:hAnsi="Times New Roman"/>
                <w:b/>
                <w:sz w:val="20"/>
                <w:szCs w:val="20"/>
              </w:rPr>
            </w:pPr>
          </w:p>
        </w:tc>
      </w:tr>
      <w:tr>
        <w:trPr>
          <w:trHeight w:val="300" w:hRule="exact"/>
        </w:trPr>
        <w:tc>
          <w:tcPr>
            <w:tcW w:w="4725" w:type="dxa"/>
            <w:gridSpan w:val="5"/>
            <w:shd w:val="clear" w:color="FFFFFF" w:fill="auto"/>
            <w:textDirection w:val="lrTb"/>
            <w:vAlign w:val="bottom"/>
          </w:tcPr>
          <w:p>
            <w:pPr>
              <w:wordWrap w:val="1"/>
              <w:jc w:val="both"/>
              <w:rPr>
                <w:rFonts w:ascii="Times New Roman" w:hAnsi="Times New Roman"/>
                <w:b/>
                <w:sz w:val="20"/>
                <w:szCs w:val="20"/>
              </w:rPr>
            </w:pPr>
            <w:r>
              <w:rPr>
                <w:rFonts w:ascii="Times New Roman" w:hAnsi="Times New Roman"/>
                <w:b/>
                <w:sz w:val="20"/>
                <w:szCs w:val="20"/>
              </w:rPr>
              <w:t>Кайзер Оксана Викторовна</w:t>
            </w:r>
          </w:p>
        </w:tc>
        <w:tc>
          <w:tcPr>
            <w:tcW w:w="2835" w:type="dxa"/>
            <w:gridSpan w:val="3"/>
            <w:shd w:val="clear" w:color="FFFFFF" w:fill="auto"/>
            <w:textDirection w:val="lrTb"/>
            <w:vAlign w:val="bottom"/>
          </w:tcPr>
          <w:p>
            <w:pPr>
              <w:wordWrap w:val="1"/>
              <w:jc w:val="both"/>
              <w:rPr>
                <w:rFonts w:ascii="Times New Roman" w:hAnsi="Times New Roman"/>
                <w:b/>
                <w:sz w:val="20"/>
                <w:szCs w:val="20"/>
              </w:rPr>
            </w:pPr>
          </w:p>
        </w:tc>
        <w:tc>
          <w:tcPr>
            <w:tcW w:w="2835" w:type="dxa"/>
            <w:gridSpan w:val="3"/>
            <w:shd w:val="clear" w:color="FFFFFF" w:fill="auto"/>
            <w:textDirection w:val="lrTb"/>
            <w:vAlign w:val="bottom"/>
          </w:tcPr>
          <w:p>
            <w:pPr>
              <w:wordWrap w:val="1"/>
              <w:jc w:val="both"/>
              <w:rPr>
                <w:rFonts w:ascii="Times New Roman" w:hAnsi="Times New Roman"/>
                <w:sz w:val="20"/>
                <w:szCs w:val="20"/>
              </w:rPr>
            </w:pPr>
          </w:p>
        </w:tc>
      </w:tr>
    </w:tbl>
    <w:sectPr>
      <w:pgSz w:w="11907" w:h="16839" w:orient="portrait"/>
      <w:pgMar w:top="567" w:right="567" w:bottom="567" w:left="567"/>
    </w:sectPr>
  </w:body>
</w:document>
</file>

<file path=word/settings.xml><?xml version="1.0" encoding="utf-8"?>
<w:settings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view w:val="normal"/>
  <w:zoom w:percent="100"/>
</w:settings>
</file>

<file path=word/styles.xml><?xml version="1.0" encoding="utf-8"?>
<w:styles xmlns:r="http://schemas.openxmlformats.org/officeDocument/2006/relationships" xmlns:w="http://schemas.openxmlformats.org/wordprocessingml/2006/main">
  <w:style w:type="table" w:styleId="TableStyle0">
    <w:name w:val="TableStyle0"/>
    <w:pPr>
      <w:spacing w:after="0" w:line="240" w:lineRule="auto"/>
    </w:pPr>
    <w:rPr>
      <w:rFonts w:ascii="Arial" w:hAnsi="Arial"/>
      <w:sz w:val="16"/>
    </w:rPr>
  </w:style>
</w:styles>
</file>

<file path=word/_rels/document.xml.rels>&#65279;<?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8" Type="http://schemas.openxmlformats.org/officeDocument/2006/relationships/header" Target="header1.xml"/>
	<Relationship Id="rId9" Type="http://schemas.openxmlformats.org/officeDocument/2006/relationships/footer" Target="footer1.xml"/>
	<Relationship Id="rId10" Type="http://schemas.openxmlformats.org/officeDocument/2006/relationships/header" Target="header2.xml"/>
	<Relationship Id="rId11" Type="http://schemas.openxmlformats.org/officeDocument/2006/relationships/footer" Target="footer2.xml"/>
</Relationships>
</file>