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рижеватый Геннадий Всеволодович (24.12.1970г.р., место рожд: пос. Чаадаевка Городищенского р-на Пензенской обл., адрес рег: 142106, Московская обл, Подольск г, Гражданская ул, дом № 55, СНИЛС05287486896, ИНН 581264970270, паспорт РФ серия 4616, номер 056215, выдан 28.01.2016, кем выдан ТП №3 Межрайонного ОУФМС России по Московской обл. в городском округе Подольск, код подразделения 500-12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Московской области от 18.01.2024г. по делу №А41-9063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7.2024г. по продаже имущества Брижеватого Геннадия Всеволо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111730 ЛАДА КАЛИНА, модель: ЛАДА 111730 ЛАДА КАЛИНА, VIN: XTA11183080137862,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рижеватого Геннадия Всеволодовича 4081781025017390941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рижеватый Геннадий Всеволодович (24.12.1970г.р., место рожд: пос. Чаадаевка Городищенского р-на Пензенской обл., адрес рег: 142106, Московская обл, Подольск г, Гражданская ул, дом № 55, СНИЛС05287486896, ИНН 581264970270, паспорт РФ серия 4616, номер 056215, выдан 28.01.2016, кем выдан ТП №3 Межрайонного ОУФМС России по Московской обл. в городском округе Подольск, код подразделения 500-1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рижеватого Геннадия Всеволодовича 4081781025017390941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рижеватого Геннадия Всеволод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