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Удовенко Ольга Владимировна (04.05.1986г.р., место рожд: пос. Лиховской г. Каменска Ростовской обл., адрес рег: 347805, Ростовская обл, Каменск-Шахтинский г, Садовый пер, дом № 28, СНИЛС11618318338, ИНН 614706507836, паспорт РФ серия 6008, номер 342389, выдан 05.12.2008, кем выдан Межрайонным Отделом УФМС России по Ростовской области в городе Каменск-Шахтинском, код подразделения 610-035),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Ростовской области  от 05.12.2023г. по делу №А53-35667/2023,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15.04.2024г. по продаже имущества Удовенко Ольги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Volkswagen, модель: Polo, VIN: XW8ZZZ61ZEG069966, год изготовления: 2014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ООО "ДРАЙВ КЛИК БАНК" (ИНН 6452010742,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Удовенко Ольги Владимировны 40817810050173853722,</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Удовенко Ольга Владимировна (04.05.1986г.р., место рожд: пос. Лиховской г. Каменска Ростовской обл., адрес рег: 347805, Ростовская обл, Каменск-Шахтинский г, Садовый пер, дом № 28, СНИЛС11618318338, ИНН 614706507836, паспорт РФ серия 6008, номер 342389, выдан 05.12.2008, кем выдан Межрайонным Отделом УФМС России по Ростовской области в городе Каменск-Шахтинском, код подразделения 610-035)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Удовенко Ольги Владимировны 40817810050173853722,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Удовенко Ольги Владимировны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Кудашева Елизавета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