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styles.xml" ContentType="application/vnd.openxmlformats-officedocument.wordprocessingml.styles+xml"/>
  <Override PartName="/word/fontTable.xml" ContentType="application/vnd.openxmlformats-officedocument.wordprocessingml.fontTable+xml"/>
  <Override PartName="/word/_rels/document.xml.rels" ContentType="application/vnd.openxmlformats-package.relationships+xml"/>
  <Override PartName="/word/theme/theme1.xml" ContentType="application/vnd.openxmlformats-officedocument.theme+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tbl>
      <w:tblPr>
        <w:tblStyle w:val="TableStyle0"/>
        <w:tblW w:w="10395" w:type="dxa"/>
        <w:jc w:val="left"/>
        <w:tblInd w:w="0" w:type="dxa"/>
        <w:tblLayout w:type="fixed"/>
        <w:tblCellMar>
          <w:top w:w="0" w:type="dxa"/>
          <w:left w:w="108" w:type="dxa"/>
          <w:bottom w:w="0" w:type="dxa"/>
          <w:right w:w="108" w:type="dxa"/>
        </w:tblCellMar>
        <w:tblLook w:val="04a0"/>
      </w:tblPr>
      <w:tblGrid>
        <w:gridCol w:w="944"/>
        <w:gridCol w:w="945"/>
        <w:gridCol w:w="945"/>
        <w:gridCol w:w="945"/>
        <w:gridCol w:w="945"/>
        <w:gridCol w:w="946"/>
        <w:gridCol w:w="945"/>
        <w:gridCol w:w="945"/>
        <w:gridCol w:w="945"/>
        <w:gridCol w:w="945"/>
        <w:gridCol w:w="944"/>
      </w:tblGrid>
      <w:tr>
        <w:trPr>
          <w:trHeight w:val="60" w:hRule="atLeast"/>
        </w:trPr>
        <w:tc>
          <w:tcPr>
            <w:tcW w:w="10394" w:type="dxa"/>
            <w:gridSpan w:val="11"/>
            <w:tcBorders/>
            <w:shd w:color="FFFFFF" w:fill="auto" w:val="clear"/>
            <w:vAlign w:val="bottom"/>
          </w:tcPr>
          <w:p>
            <w:pPr>
              <w:pStyle w:val="Normal"/>
              <w:bidi w:val="0"/>
              <w:spacing w:lineRule="auto" w:line="240" w:before="0" w:after="0"/>
              <w:jc w:val="center"/>
              <w:rPr>
                <w:rFonts w:ascii="Arial" w:hAnsi="Arial"/>
                <w:kern w:val="0"/>
                <w:sz w:val="16"/>
                <w:szCs w:val="20"/>
              </w:rPr>
            </w:pPr>
            <w:r>
              <w:rPr>
                <w:rFonts w:ascii="Times New Roman" w:hAnsi="Times New Roman"/>
                <w:b/>
                <w:kern w:val="0"/>
                <w:sz w:val="20"/>
                <w:szCs w:val="20"/>
              </w:rPr>
              <w:t>ДОГОВОР</w:t>
            </w:r>
          </w:p>
        </w:tc>
      </w:tr>
      <w:tr>
        <w:trPr>
          <w:trHeight w:val="265" w:hRule="atLeast"/>
        </w:trPr>
        <w:tc>
          <w:tcPr>
            <w:tcW w:w="10394" w:type="dxa"/>
            <w:gridSpan w:val="11"/>
            <w:tcBorders/>
            <w:shd w:color="FFFFFF" w:fill="auto" w:val="clear"/>
            <w:vAlign w:val="bottom"/>
          </w:tcPr>
          <w:p>
            <w:pPr>
              <w:pStyle w:val="Normal"/>
              <w:bidi w:val="0"/>
              <w:spacing w:lineRule="auto" w:line="240" w:before="0" w:after="0"/>
              <w:jc w:val="center"/>
              <w:rPr>
                <w:rFonts w:ascii="Arial" w:hAnsi="Arial"/>
                <w:kern w:val="0"/>
                <w:sz w:val="16"/>
                <w:szCs w:val="20"/>
              </w:rPr>
            </w:pPr>
            <w:r>
              <w:rPr>
                <w:rFonts w:ascii="Times New Roman" w:hAnsi="Times New Roman"/>
                <w:b/>
                <w:kern w:val="0"/>
                <w:sz w:val="20"/>
                <w:szCs w:val="20"/>
              </w:rPr>
              <w:t>купли-продажи</w:t>
            </w:r>
          </w:p>
        </w:tc>
      </w:tr>
      <w:tr>
        <w:trPr>
          <w:trHeight w:val="265" w:hRule="atLeast"/>
        </w:trPr>
        <w:tc>
          <w:tcPr>
            <w:tcW w:w="9450" w:type="dxa"/>
            <w:gridSpan w:val="10"/>
            <w:tcBorders/>
            <w:shd w:color="FFFFFF" w:fill="auto" w:val="clear"/>
          </w:tcPr>
          <w:p>
            <w:pPr>
              <w:pStyle w:val="Normal"/>
              <w:bidi w:val="0"/>
              <w:spacing w:lineRule="auto" w:line="240" w:before="0" w:after="0"/>
              <w:jc w:val="both"/>
              <w:rPr>
                <w:rFonts w:ascii="Times New Roman" w:hAnsi="Times New Roman"/>
                <w:sz w:val="20"/>
                <w:szCs w:val="20"/>
              </w:rPr>
            </w:pPr>
            <w:r>
              <w:rPr>
                <w:rFonts w:ascii="Arial" w:hAnsi="Arial"/>
                <w:kern w:val="0"/>
                <w:sz w:val="16"/>
                <w:szCs w:val="20"/>
              </w:rPr>
            </w:r>
          </w:p>
        </w:tc>
        <w:tc>
          <w:tcPr>
            <w:tcW w:w="944" w:type="dxa"/>
            <w:tcBorders/>
            <w:shd w:color="FFFFFF" w:fill="auto" w:val="clear"/>
            <w:vAlign w:val="bottom"/>
          </w:tcPr>
          <w:p>
            <w:pPr>
              <w:pStyle w:val="Normal"/>
              <w:bidi w:val="0"/>
              <w:spacing w:lineRule="auto" w:line="240" w:before="0" w:after="0"/>
              <w:jc w:val="center"/>
              <w:rPr>
                <w:rFonts w:ascii="Arial" w:hAnsi="Arial"/>
                <w:kern w:val="0"/>
                <w:sz w:val="16"/>
                <w:szCs w:val="20"/>
              </w:rPr>
            </w:pPr>
            <w:r>
              <w:rPr>
                <w:rFonts w:ascii="Arial" w:hAnsi="Arial"/>
                <w:kern w:val="0"/>
                <w:sz w:val="16"/>
                <w:szCs w:val="20"/>
              </w:rPr>
            </w:r>
          </w:p>
        </w:tc>
      </w:tr>
      <w:tr>
        <w:trPr>
          <w:trHeight w:val="60"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Мы, нижеподписавшиеся:</w:t>
            </w:r>
          </w:p>
        </w:tc>
      </w:tr>
      <w:tr>
        <w:trPr>
          <w:trHeight w:val="60"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Гражданин РФ Арутюнян Артак Григорьевич (30.11.1980г.р., место рожд: с. Гогаран Спитакского р-на Арм. ССР, адрес рег: 443010, Самарская обл, Самара г, Куйбышева пл, дом № 45, квартира 7, СНИЛС17386512090, ИНН 631408032020, паспорт РФ серия 3609, номер 177751, выдан 13.11.2009, кем выдан Отделением УФМС России по Самарской области в Куйбышевском районе гор. Самары, код подразделения 630-032), в лице Гражданина РФ Финансового управляющего Кудашевой Елизаветы Владимировны (ИНН 740418776996, СНИЛС 16552968505, рег.номер 22151), действующего на основании решения Арбитражного суда Ростовской области  от 23.05.2023г. по делу №А53-4560/2023, именуемый в дальнейшем «Продавец», с одной стороны, и</w:t>
            </w:r>
          </w:p>
        </w:tc>
      </w:tr>
      <w:tr>
        <w:trPr>
          <w:trHeight w:val="60"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Гражданин РФ , именуемый в дальнейшем «Покупатель» с другой стороны, а совместно именуемые «Стороны», заключили настоящий договор о нижеследующем,</w:t>
            </w:r>
          </w:p>
        </w:tc>
      </w:tr>
      <w:tr>
        <w:trPr>
          <w:trHeight w:val="60" w:hRule="atLeast"/>
        </w:trPr>
        <w:tc>
          <w:tcPr>
            <w:tcW w:w="10394" w:type="dxa"/>
            <w:gridSpan w:val="11"/>
            <w:tcBorders/>
            <w:shd w:color="FFFFFF" w:fill="auto" w:val="clear"/>
            <w:vAlign w:val="bottom"/>
          </w:tcPr>
          <w:p>
            <w:pPr>
              <w:pStyle w:val="Normal"/>
              <w:bidi w:val="0"/>
              <w:spacing w:lineRule="auto" w:line="240" w:before="0" w:after="0"/>
              <w:jc w:val="center"/>
              <w:rPr>
                <w:rFonts w:ascii="Arial" w:hAnsi="Arial"/>
                <w:kern w:val="0"/>
                <w:sz w:val="16"/>
                <w:szCs w:val="20"/>
              </w:rPr>
            </w:pPr>
            <w:r>
              <w:rPr>
                <w:rFonts w:ascii="Times New Roman" w:hAnsi="Times New Roman"/>
                <w:b/>
                <w:kern w:val="0"/>
                <w:sz w:val="20"/>
                <w:szCs w:val="20"/>
              </w:rPr>
              <w:t>1. Предмет договора</w:t>
            </w:r>
          </w:p>
        </w:tc>
      </w:tr>
      <w:tr>
        <w:trPr>
          <w:trHeight w:val="60"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ДоговорКуплиПродажиТекст2</w:t>
              <w:br/>
              <w:t>1.1.  В соответствии с Протоколом №  от 02.04.2024г. по продаже имущества Арутюняна Артака Григорьевича, размещенным на торговой площадке  АО "РАД" (https://lot-online.ru/)  (далее по тексту – "Протокол"), Продавец обязуется передать в собственность Покупателя, признанного Победителем указанных торгов, имущество, выигранное на этих торгах, а именно: Автомобиль легковой, марка: NISSAN, модель: TEANA, VIN: Z8NBCWJ32AS006809, год изготовления: 2010 (далее - Имущество).</w:t>
            </w:r>
          </w:p>
        </w:tc>
      </w:tr>
      <w:tr>
        <w:trPr>
          <w:trHeight w:val="60" w:hRule="atLeast"/>
        </w:trPr>
        <w:tc>
          <w:tcPr>
            <w:tcW w:w="10394" w:type="dxa"/>
            <w:gridSpan w:val="11"/>
            <w:tcBorders/>
            <w:shd w:color="FFFFFF" w:fill="FFFFFF" w:val="clear"/>
            <w:vAlign w:val="bottom"/>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r>
      <w:tr>
        <w:trPr>
          <w:trHeight w:val="60"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1.2. Имущество принадлежит  Продавцу на праве собственности на основании Паспорта транспортного средства , Свидетельства о регистрации ТС .</w:t>
            </w:r>
          </w:p>
        </w:tc>
      </w:tr>
      <w:tr>
        <w:trPr>
          <w:trHeight w:val="60"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 xml:space="preserve">1.3. На момент составления Договора купли-продажи на вышеуказанном имуществе обременения/ограничения </w:t>
            </w:r>
            <w:r>
              <w:rPr>
                <w:rFonts w:ascii="Times New Roman" w:hAnsi="Times New Roman"/>
                <w:kern w:val="0"/>
                <w:sz w:val="20"/>
                <w:szCs w:val="20"/>
              </w:rPr>
              <w:t>имеются</w:t>
            </w:r>
            <w:r>
              <w:rPr>
                <w:rFonts w:ascii="Times New Roman" w:hAnsi="Times New Roman"/>
                <w:kern w:val="0"/>
                <w:sz w:val="20"/>
                <w:szCs w:val="20"/>
              </w:rPr>
              <w:t>.</w:t>
            </w:r>
          </w:p>
          <w:p>
            <w:pPr>
              <w:pStyle w:val="Normal"/>
              <w:bidi w:val="0"/>
              <w:spacing w:lineRule="auto" w:line="240" w:before="0" w:after="0"/>
              <w:jc w:val="both"/>
              <w:rPr/>
            </w:pPr>
            <w:bookmarkStart w:id="0" w:name="im-message-104324952"/>
            <w:bookmarkEnd w:id="0"/>
            <w:r>
              <w:rPr>
                <w:rFonts w:ascii="Times New Roman" w:hAnsi="Times New Roman"/>
                <w:kern w:val="0"/>
                <w:sz w:val="20"/>
                <w:szCs w:val="20"/>
              </w:rPr>
              <w:t>В соответствии с абз. 4 п. 5 ст. 213.25 ФЗ «О несостоятельности (банкротстве)» от 26 октября 2002 г. № 127-ФЗ с даты признания гражданина банкротом снимаются ранее наложенные аресты на имущество гражданина и иные ограничения распоряжения имуществом гражданина.</w:t>
            </w:r>
          </w:p>
          <w:p>
            <w:pPr>
              <w:pStyle w:val="Normal"/>
              <w:bidi w:val="0"/>
              <w:spacing w:lineRule="auto" w:line="240" w:before="0" w:after="0"/>
              <w:jc w:val="both"/>
              <w:rPr>
                <w:rFonts w:ascii="Times New Roman" w:hAnsi="Times New Roman"/>
                <w:sz w:val="20"/>
                <w:szCs w:val="20"/>
              </w:rPr>
            </w:pPr>
            <w:r>
              <w:rPr>
                <w:rFonts w:ascii="Arial" w:hAnsi="Arial"/>
                <w:kern w:val="0"/>
                <w:sz w:val="16"/>
                <w:szCs w:val="20"/>
              </w:rPr>
            </w:r>
          </w:p>
        </w:tc>
      </w:tr>
      <w:tr>
        <w:trPr>
          <w:trHeight w:val="60" w:hRule="atLeast"/>
        </w:trPr>
        <w:tc>
          <w:tcPr>
            <w:tcW w:w="10394" w:type="dxa"/>
            <w:gridSpan w:val="11"/>
            <w:tcBorders/>
            <w:shd w:color="FFFFFF" w:fill="auto" w:val="clear"/>
            <w:vAlign w:val="bottom"/>
          </w:tcPr>
          <w:p>
            <w:pPr>
              <w:pStyle w:val="Normal"/>
              <w:bidi w:val="0"/>
              <w:spacing w:lineRule="auto" w:line="240" w:before="0" w:after="0"/>
              <w:jc w:val="center"/>
              <w:rPr>
                <w:rFonts w:ascii="Arial" w:hAnsi="Arial"/>
                <w:kern w:val="0"/>
                <w:sz w:val="16"/>
                <w:szCs w:val="20"/>
              </w:rPr>
            </w:pPr>
            <w:r>
              <w:rPr>
                <w:rFonts w:ascii="Times New Roman" w:hAnsi="Times New Roman"/>
                <w:b/>
                <w:kern w:val="0"/>
                <w:sz w:val="20"/>
                <w:szCs w:val="20"/>
              </w:rPr>
              <w:t>2. Обязанности Сторон</w:t>
            </w:r>
          </w:p>
        </w:tc>
      </w:tr>
      <w:tr>
        <w:trPr>
          <w:trHeight w:val="60"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2.1. Продавец обязуется:</w:t>
            </w:r>
          </w:p>
        </w:tc>
      </w:tr>
      <w:tr>
        <w:trPr>
          <w:trHeight w:val="60"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2.1.1. Передать Покупателю Имущество по акту приема-передачи.</w:t>
            </w:r>
          </w:p>
        </w:tc>
      </w:tr>
      <w:tr>
        <w:trPr>
          <w:trHeight w:val="60"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2.1.2. Передать Покупателю по акту приема-передачи, все необходимые документы для регистрации перехода права собственности на выигранное на открытых торгах Имущество, в течение 30 (тридцати) рабочих дней с момента поступления на расчетный счет Продавца денежных средств в соответствии с настоящим договором.</w:t>
            </w:r>
          </w:p>
        </w:tc>
      </w:tr>
      <w:tr>
        <w:trPr>
          <w:trHeight w:val="60"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2.2. Покупатель обязан:</w:t>
            </w:r>
          </w:p>
        </w:tc>
      </w:tr>
      <w:tr>
        <w:trPr>
          <w:trHeight w:val="280" w:hRule="atLeast"/>
        </w:trPr>
        <w:tc>
          <w:tcPr>
            <w:tcW w:w="10394" w:type="dxa"/>
            <w:gridSpan w:val="11"/>
            <w:tcBorders/>
            <w:shd w:color="FFFFFF" w:fill="auto" w:val="clear"/>
            <w:vAlign w:val="bottom"/>
          </w:tcPr>
          <w:p>
            <w:pPr>
              <w:pStyle w:val="Normal"/>
              <w:bidi w:val="0"/>
              <w:spacing w:lineRule="auto" w:line="240" w:before="0" w:after="0"/>
              <w:jc w:val="left"/>
              <w:rPr>
                <w:rFonts w:ascii="Arial" w:hAnsi="Arial"/>
                <w:kern w:val="0"/>
                <w:sz w:val="16"/>
                <w:szCs w:val="20"/>
              </w:rPr>
            </w:pPr>
            <w:r>
              <w:rPr>
                <w:rFonts w:ascii="Times New Roman" w:hAnsi="Times New Roman"/>
                <w:kern w:val="0"/>
                <w:sz w:val="20"/>
                <w:szCs w:val="20"/>
              </w:rPr>
              <w:t>2.2.1. Оплатить полную стоимость имущества в соответствии с настоящим договором.</w:t>
            </w:r>
          </w:p>
        </w:tc>
      </w:tr>
      <w:tr>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2.2.2. В течение 30 (тридцати) рабочих дней со дня исполнения всех своих обязательств, предусмотренных настоящим договором, принять от Продавца имущество по акту приема-передачи.</w:t>
            </w:r>
          </w:p>
        </w:tc>
      </w:tr>
      <w:tr>
        <w:trPr/>
        <w:tc>
          <w:tcPr>
            <w:tcW w:w="10394" w:type="dxa"/>
            <w:gridSpan w:val="11"/>
            <w:tcBorders/>
            <w:shd w:color="FFFFFF" w:fill="auto" w:val="clear"/>
            <w:vAlign w:val="bottom"/>
          </w:tcPr>
          <w:p>
            <w:pPr>
              <w:pStyle w:val="Normal"/>
              <w:bidi w:val="0"/>
              <w:spacing w:lineRule="auto" w:line="240" w:before="0" w:after="0"/>
              <w:jc w:val="center"/>
              <w:rPr>
                <w:rFonts w:ascii="Arial" w:hAnsi="Arial"/>
                <w:kern w:val="0"/>
                <w:sz w:val="16"/>
                <w:szCs w:val="20"/>
              </w:rPr>
            </w:pPr>
            <w:r>
              <w:rPr>
                <w:rFonts w:ascii="Times New Roman" w:hAnsi="Times New Roman"/>
                <w:b/>
                <w:kern w:val="0"/>
                <w:sz w:val="20"/>
                <w:szCs w:val="20"/>
              </w:rPr>
              <w:t>3. Цена и порядок расчетов</w:t>
            </w:r>
          </w:p>
        </w:tc>
      </w:tr>
      <w:tr>
        <w:trPr/>
        <w:tc>
          <w:tcPr>
            <w:tcW w:w="10394" w:type="dxa"/>
            <w:gridSpan w:val="11"/>
            <w:tcBorders/>
            <w:shd w:color="FFFFFF" w:fill="auto" w:val="clear"/>
            <w:vAlign w:val="bottom"/>
          </w:tcPr>
          <w:p>
            <w:pPr>
              <w:pStyle w:val="Normal"/>
              <w:bidi w:val="0"/>
              <w:spacing w:lineRule="auto" w:line="240" w:before="0" w:after="0"/>
              <w:jc w:val="left"/>
              <w:rPr>
                <w:rFonts w:ascii="Arial" w:hAnsi="Arial"/>
                <w:kern w:val="0"/>
                <w:sz w:val="16"/>
                <w:szCs w:val="20"/>
              </w:rPr>
            </w:pPr>
            <w:r>
              <w:rPr>
                <w:rFonts w:ascii="Times New Roman" w:hAnsi="Times New Roman"/>
                <w:kern w:val="0"/>
                <w:sz w:val="20"/>
                <w:szCs w:val="20"/>
              </w:rPr>
              <w:t>3.1. Стоимость имущества составляет:</w:t>
            </w:r>
          </w:p>
        </w:tc>
      </w:tr>
      <w:tr>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(Ноль) рублей 00 копеек без учета НДС (подпункт 15 п.2 ст.146 НК), Задаток, оплаченный Покупателем, составляет  (Ноль) рублей 00 копеек, итоговая сумма оплаты Покупателем составляет ( (Ноль) рублей 00 копеек. Цена настоящего договора установлена по результатам проведения торгов, которые проводились 02.04.2024г. на сайте https://lot-online.ru/, является окончательной и изменению не подлежит.</w:t>
            </w:r>
          </w:p>
        </w:tc>
      </w:tr>
      <w:tr>
        <w:trPr>
          <w:trHeight w:val="530"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3.2. Расходы по переходу права собственности и иные, не указанные в настоящем договоре возможные расходы, необходимые для исполнения договорных обязательств, несет Покупатель.</w:t>
            </w:r>
          </w:p>
        </w:tc>
      </w:tr>
      <w:tr>
        <w:trPr>
          <w:trHeight w:val="60"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3.3. Оплата стоимости имущества по настоящему договору осуществляется Покупателем безналичным платежом на расчетный счет:</w:t>
            </w:r>
          </w:p>
        </w:tc>
      </w:tr>
      <w:tr>
        <w:trPr>
          <w:trHeight w:val="60" w:hRule="atLeast"/>
        </w:trPr>
        <w:tc>
          <w:tcPr>
            <w:tcW w:w="10394" w:type="dxa"/>
            <w:gridSpan w:val="11"/>
            <w:tcBorders/>
            <w:shd w:color="FFFFFF" w:fill="auto" w:val="clear"/>
            <w:vAlign w:val="bottom"/>
          </w:tcPr>
          <w:p>
            <w:pPr>
              <w:pStyle w:val="Normal"/>
              <w:bidi w:val="0"/>
              <w:spacing w:lineRule="auto" w:line="240" w:before="0" w:after="0"/>
              <w:jc w:val="left"/>
              <w:rPr>
                <w:rFonts w:ascii="Arial" w:hAnsi="Arial"/>
                <w:kern w:val="0"/>
                <w:sz w:val="16"/>
                <w:szCs w:val="20"/>
              </w:rPr>
            </w:pPr>
            <w:r>
              <w:rPr>
                <w:rFonts w:ascii="Times New Roman" w:hAnsi="Times New Roman"/>
                <w:kern w:val="0"/>
                <w:sz w:val="20"/>
                <w:szCs w:val="20"/>
              </w:rPr>
              <w:t>Наименование банка: ФИЛИАЛ "ЦЕНТРАЛЬНЫЙ" ПАО "СОВКОМБАНК"</w:t>
              <w:br/>
              <w:t>ИНН 4401116480</w:t>
              <w:br/>
              <w:t>ОГРН 1144400000425</w:t>
              <w:br/>
              <w:t>БИК 045004763</w:t>
              <w:br/>
              <w:t>КПП 440101001</w:t>
              <w:br/>
              <w:t>к/сч 30101810150040000763</w:t>
              <w:br/>
              <w:t xml:space="preserve">счет Арутюняна Артака Григорьевича 40817810250172051901 </w:t>
            </w:r>
            <w:r>
              <w:rPr>
                <w:rFonts w:ascii="Times New Roman" w:hAnsi="Times New Roman"/>
                <w:kern w:val="0"/>
                <w:sz w:val="20"/>
                <w:szCs w:val="20"/>
              </w:rPr>
              <w:t>(ИНН 631408032020)</w:t>
            </w:r>
            <w:r>
              <w:rPr>
                <w:rFonts w:ascii="Times New Roman" w:hAnsi="Times New Roman"/>
                <w:kern w:val="0"/>
                <w:sz w:val="20"/>
                <w:szCs w:val="20"/>
              </w:rPr>
              <w:t>,</w:t>
            </w:r>
          </w:p>
        </w:tc>
      </w:tr>
      <w:tr>
        <w:trPr>
          <w:trHeight w:val="60" w:hRule="atLeast"/>
        </w:trPr>
        <w:tc>
          <w:tcPr>
            <w:tcW w:w="10394" w:type="dxa"/>
            <w:gridSpan w:val="11"/>
            <w:tcBorders/>
            <w:shd w:color="FFFFFF" w:fill="auto" w:val="clear"/>
            <w:vAlign w:val="bottom"/>
          </w:tcPr>
          <w:p>
            <w:pPr>
              <w:pStyle w:val="Normal"/>
              <w:bidi w:val="0"/>
              <w:spacing w:lineRule="auto" w:line="240" w:before="0" w:after="0"/>
              <w:jc w:val="left"/>
              <w:rPr>
                <w:rFonts w:ascii="Arial" w:hAnsi="Arial"/>
                <w:kern w:val="0"/>
                <w:sz w:val="16"/>
                <w:szCs w:val="20"/>
              </w:rPr>
            </w:pPr>
            <w:r>
              <w:rPr>
                <w:rFonts w:ascii="Times New Roman" w:hAnsi="Times New Roman"/>
                <w:kern w:val="0"/>
                <w:sz w:val="20"/>
                <w:szCs w:val="20"/>
              </w:rPr>
              <w:t>в течение тридцати дней с даты подписания настоящего договора.</w:t>
            </w:r>
          </w:p>
        </w:tc>
      </w:tr>
      <w:tr>
        <w:trPr>
          <w:trHeight w:val="60"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Моментом надлежащей оплаты по настоящему договору считать момент перечисления банком Покупателя либо банком-корреспондентом предусмотренных настоящим договором сумм в банк Продавца для их дальнейшего зачисления на счет Продавца.</w:t>
            </w:r>
          </w:p>
        </w:tc>
      </w:tr>
      <w:tr>
        <w:trPr>
          <w:trHeight w:val="60" w:hRule="atLeast"/>
        </w:trPr>
        <w:tc>
          <w:tcPr>
            <w:tcW w:w="10394" w:type="dxa"/>
            <w:gridSpan w:val="11"/>
            <w:tcBorders/>
            <w:shd w:color="FFFFFF" w:fill="auto" w:val="clear"/>
            <w:vAlign w:val="bottom"/>
          </w:tcPr>
          <w:p>
            <w:pPr>
              <w:pStyle w:val="Normal"/>
              <w:bidi w:val="0"/>
              <w:spacing w:lineRule="auto" w:line="240" w:before="0" w:after="0"/>
              <w:jc w:val="center"/>
              <w:rPr>
                <w:rFonts w:ascii="Arial" w:hAnsi="Arial"/>
                <w:kern w:val="0"/>
                <w:sz w:val="16"/>
                <w:szCs w:val="20"/>
              </w:rPr>
            </w:pPr>
            <w:r>
              <w:rPr>
                <w:rFonts w:ascii="Times New Roman" w:hAnsi="Times New Roman"/>
                <w:b/>
                <w:kern w:val="0"/>
                <w:sz w:val="20"/>
                <w:szCs w:val="20"/>
              </w:rPr>
              <w:t>4. Передача имущества и переход риска случайной гибели имущества</w:t>
            </w:r>
          </w:p>
        </w:tc>
      </w:tr>
      <w:tr>
        <w:trPr>
          <w:trHeight w:val="935"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4.1. Продавец в течение 30 (тридцати) рабочих дней со дня исполнения Покупателем всех своих обязательств, предусмотренных настоящим договором, обязан передать Покупателю Имущество. Передача имущества осуществляется посредством подписания Сторонами акта приема-передачи. Момент подписания акта приема-передачи является моментом передачи Имущества Покупателю.</w:t>
            </w:r>
          </w:p>
        </w:tc>
      </w:tr>
      <w:tr>
        <w:trPr>
          <w:trHeight w:val="695"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4.2. Стороны договора определили, что Продавец осуществляет подготовку Имущества к передаче его Покупателю, в том числе составление и представление на подписание акта приема-передачи. Указанные действия осуществляются Продавцом своими силами и за свой счет.</w:t>
            </w:r>
          </w:p>
        </w:tc>
      </w:tr>
      <w:tr>
        <w:trPr>
          <w:trHeight w:val="790"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4.3. Имущество, полагают Стороны договора, будет считаться переданным от Продавца Покупателю с момента подписания акта приема-передачи обеими Сторонами договора. С этого момента на Покупателя переходит риск случайной гибели или случайного повреждения имущества, переданного Покупателю.</w:t>
            </w:r>
          </w:p>
        </w:tc>
      </w:tr>
      <w:tr>
        <w:trPr>
          <w:trHeight w:val="685"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4.4. В случае, если Покупатель уклоняется от подписания акта приема-передачи по истечении 30 (тридцати) рабочих дней со дня исполнения Покупателем всех своих обязательств, риск случайной гибели или случайного повреждения Имущества переходит на него.</w:t>
            </w:r>
          </w:p>
        </w:tc>
      </w:tr>
      <w:tr>
        <w:trPr>
          <w:trHeight w:val="290" w:hRule="atLeast"/>
        </w:trPr>
        <w:tc>
          <w:tcPr>
            <w:tcW w:w="10394" w:type="dxa"/>
            <w:gridSpan w:val="11"/>
            <w:tcBorders/>
            <w:shd w:color="FFFFFF" w:fill="auto" w:val="clear"/>
            <w:vAlign w:val="bottom"/>
          </w:tcPr>
          <w:p>
            <w:pPr>
              <w:pStyle w:val="Normal"/>
              <w:bidi w:val="0"/>
              <w:spacing w:lineRule="auto" w:line="240" w:before="0" w:after="0"/>
              <w:jc w:val="center"/>
              <w:rPr>
                <w:rFonts w:ascii="Arial" w:hAnsi="Arial"/>
                <w:kern w:val="0"/>
                <w:sz w:val="16"/>
                <w:szCs w:val="20"/>
              </w:rPr>
            </w:pPr>
            <w:r>
              <w:rPr>
                <w:rFonts w:ascii="Times New Roman" w:hAnsi="Times New Roman"/>
                <w:b/>
                <w:kern w:val="0"/>
                <w:sz w:val="20"/>
                <w:szCs w:val="20"/>
              </w:rPr>
              <w:t>5. Возникновение права собственности</w:t>
            </w:r>
          </w:p>
        </w:tc>
      </w:tr>
      <w:tr>
        <w:trPr>
          <w:trHeight w:val="1270"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5.1. Право собственности Имуществом возникает у Покупателя с момента подписания акта приема-передачи Имуществом либо по истечении 30 (тридцати) рабочих дней со дня исполнения Покупателем всех своих обязательств в случае, если Покупатель уклоняется от подписания акта приема-передачи. Покупатель до подписания настоящего договора ознакомился с техническим состоянием Имущества. Имущество передано в надлежащем качественном состоянии.</w:t>
            </w:r>
          </w:p>
        </w:tc>
      </w:tr>
      <w:tr>
        <w:trPr>
          <w:trHeight w:val="290" w:hRule="atLeast"/>
        </w:trPr>
        <w:tc>
          <w:tcPr>
            <w:tcW w:w="10394" w:type="dxa"/>
            <w:gridSpan w:val="11"/>
            <w:tcBorders/>
            <w:shd w:color="FFFFFF" w:fill="auto" w:val="clear"/>
            <w:vAlign w:val="bottom"/>
          </w:tcPr>
          <w:p>
            <w:pPr>
              <w:pStyle w:val="Normal"/>
              <w:bidi w:val="0"/>
              <w:spacing w:lineRule="auto" w:line="240" w:before="0" w:after="0"/>
              <w:jc w:val="center"/>
              <w:rPr>
                <w:rFonts w:ascii="Arial" w:hAnsi="Arial"/>
                <w:kern w:val="0"/>
                <w:sz w:val="16"/>
                <w:szCs w:val="20"/>
              </w:rPr>
            </w:pPr>
            <w:r>
              <w:rPr>
                <w:rFonts w:ascii="Times New Roman" w:hAnsi="Times New Roman"/>
                <w:b/>
                <w:kern w:val="0"/>
                <w:sz w:val="20"/>
                <w:szCs w:val="20"/>
              </w:rPr>
              <w:t>6. Ответственность Сторон</w:t>
            </w:r>
          </w:p>
        </w:tc>
      </w:tr>
      <w:tr>
        <w:trPr>
          <w:trHeight w:val="515"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6.1. Любая из Сторон настоящего договора, не исполнившая обязательства по договору или исполнившая их ненадлежащим образом, несет ответственность за упомянутое при наличии вины (умысла или неосторожности).</w:t>
            </w:r>
          </w:p>
        </w:tc>
      </w:tr>
      <w:tr>
        <w:trPr>
          <w:trHeight w:val="530"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6.2. Отсутствие вины за неисполнение или ненадлежащее исполнение обязательств по договору доказывается Стороной, нарушившей обязательства.</w:t>
            </w:r>
          </w:p>
        </w:tc>
      </w:tr>
      <w:tr>
        <w:trPr>
          <w:trHeight w:val="2220"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6.3.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 е. чрезвычайных и непредотвратимых обстоятельств при конкретных условиях конкретного периода времени. К обстоятельствам непреодолимой силы Стороны настоящего договора отнесли такие: явления стихийного характера (землетрясение, наводнение, удар молнии, извержение вулкана, сель, оползень, цунами и т. п.), температуру, силу ветра и уровень осадков в месте исполнения обязательств по договору, исключающих для человека нормальную жизнедеятельность; мораторий органов власти и управления; забастовки, организованные в установленном законом порядке, и другие обстоятельства, которые могут быть определены Сторонами договора как непреодолимая сила для надлежащего исполнения обязательств.</w:t>
            </w:r>
          </w:p>
        </w:tc>
      </w:tr>
      <w:tr>
        <w:trPr>
          <w:trHeight w:val="290" w:hRule="atLeast"/>
        </w:trPr>
        <w:tc>
          <w:tcPr>
            <w:tcW w:w="10394" w:type="dxa"/>
            <w:gridSpan w:val="11"/>
            <w:tcBorders/>
            <w:shd w:color="FFFFFF" w:fill="auto" w:val="clear"/>
            <w:vAlign w:val="bottom"/>
          </w:tcPr>
          <w:p>
            <w:pPr>
              <w:pStyle w:val="Normal"/>
              <w:bidi w:val="0"/>
              <w:spacing w:lineRule="auto" w:line="240" w:before="0" w:after="0"/>
              <w:jc w:val="center"/>
              <w:rPr>
                <w:rFonts w:ascii="Arial" w:hAnsi="Arial"/>
                <w:kern w:val="0"/>
                <w:sz w:val="16"/>
                <w:szCs w:val="20"/>
              </w:rPr>
            </w:pPr>
            <w:r>
              <w:rPr>
                <w:rFonts w:ascii="Times New Roman" w:hAnsi="Times New Roman"/>
                <w:b/>
                <w:kern w:val="0"/>
                <w:sz w:val="20"/>
                <w:szCs w:val="20"/>
              </w:rPr>
              <w:t>7. Порядок разрешения споров</w:t>
            </w:r>
          </w:p>
        </w:tc>
      </w:tr>
      <w:tr>
        <w:trPr>
          <w:trHeight w:val="540"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7.1. Споры, вытекающие из настоящего Договора, подлежат рассмотрению в арбитражном суде в порядке, предусмотренном действующим законодательством РФ.</w:t>
            </w:r>
          </w:p>
        </w:tc>
      </w:tr>
      <w:tr>
        <w:trPr>
          <w:trHeight w:val="290" w:hRule="atLeast"/>
        </w:trPr>
        <w:tc>
          <w:tcPr>
            <w:tcW w:w="10394" w:type="dxa"/>
            <w:gridSpan w:val="11"/>
            <w:tcBorders/>
            <w:shd w:color="FFFFFF" w:fill="auto" w:val="clear"/>
            <w:vAlign w:val="bottom"/>
          </w:tcPr>
          <w:p>
            <w:pPr>
              <w:pStyle w:val="Normal"/>
              <w:bidi w:val="0"/>
              <w:spacing w:lineRule="auto" w:line="240" w:before="0" w:after="0"/>
              <w:jc w:val="center"/>
              <w:rPr>
                <w:rFonts w:ascii="Arial" w:hAnsi="Arial"/>
                <w:kern w:val="0"/>
                <w:sz w:val="16"/>
                <w:szCs w:val="20"/>
              </w:rPr>
            </w:pPr>
            <w:r>
              <w:rPr>
                <w:rFonts w:ascii="Times New Roman" w:hAnsi="Times New Roman"/>
                <w:b/>
                <w:kern w:val="0"/>
                <w:sz w:val="20"/>
                <w:szCs w:val="20"/>
              </w:rPr>
              <w:t>8. Условия изменения и расторжения договора</w:t>
            </w:r>
          </w:p>
        </w:tc>
      </w:tr>
      <w:tr>
        <w:trPr>
          <w:trHeight w:val="590"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8.1. Расторжение настоящего договора осуществляется в порядке, предусмотренном законодательством Российской Федерации, без возврата внесенного задатка.</w:t>
            </w:r>
          </w:p>
        </w:tc>
      </w:tr>
      <w:tr>
        <w:trPr>
          <w:trHeight w:val="770" w:hRule="atLeast"/>
        </w:trPr>
        <w:tc>
          <w:tcPr>
            <w:tcW w:w="10394"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kern w:val="0"/>
                <w:sz w:val="20"/>
                <w:szCs w:val="20"/>
              </w:rPr>
              <w:t>8.2. Если покупатель в нарушение договора купли-продажи отказывается принять и оплатить товар, продавец вправе по своему выбору потребовать оплаты товара либо отказаться от исполнения договора  (п. 4 ст. 486 Гражданского Кодекса Российской Федерации).</w:t>
              <w:br/>
            </w:r>
          </w:p>
        </w:tc>
      </w:tr>
      <w:tr>
        <w:trPr>
          <w:trHeight w:val="1020" w:hRule="atLeast"/>
        </w:trPr>
        <w:tc>
          <w:tcPr>
            <w:tcW w:w="10394"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kern w:val="0"/>
                <w:sz w:val="20"/>
                <w:szCs w:val="20"/>
              </w:rPr>
              <w:t>8.3. Право на односторонний отказ от договора (исполнения договора) (статья 310 Гражданского Кодекса Российской Федерации) может быть осуществлено управомоченной стороной путем уведомления другой стороны об отказе от договора (исполнения договора). Договор прекращается с момента получения данного уведомления, если иное не предусмотрено настоящим Кодексом, другими законами, иными правовыми актами или договором.</w:t>
              <w:br/>
            </w:r>
          </w:p>
        </w:tc>
      </w:tr>
      <w:tr>
        <w:trPr>
          <w:trHeight w:val="780"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В случае одностороннего отказа от договора (исполнения договора) полностью или частично, если такой отказ допускается, договор считается расторгнутым или измененным. (пп. 1, 2 Статья 450.1. Гражданского Кодекса Российской Федерации).</w:t>
            </w:r>
          </w:p>
        </w:tc>
      </w:tr>
      <w:tr>
        <w:trPr>
          <w:trHeight w:val="290" w:hRule="atLeast"/>
        </w:trPr>
        <w:tc>
          <w:tcPr>
            <w:tcW w:w="10394" w:type="dxa"/>
            <w:gridSpan w:val="11"/>
            <w:tcBorders/>
            <w:shd w:color="FFFFFF" w:fill="auto" w:val="clear"/>
            <w:vAlign w:val="bottom"/>
          </w:tcPr>
          <w:p>
            <w:pPr>
              <w:pStyle w:val="Normal"/>
              <w:bidi w:val="0"/>
              <w:spacing w:lineRule="auto" w:line="240" w:before="0" w:after="0"/>
              <w:jc w:val="center"/>
              <w:rPr>
                <w:rFonts w:ascii="Arial" w:hAnsi="Arial"/>
                <w:kern w:val="0"/>
                <w:sz w:val="16"/>
                <w:szCs w:val="20"/>
              </w:rPr>
            </w:pPr>
            <w:r>
              <w:rPr>
                <w:rFonts w:ascii="Times New Roman" w:hAnsi="Times New Roman"/>
                <w:b/>
                <w:kern w:val="0"/>
                <w:sz w:val="20"/>
                <w:szCs w:val="20"/>
              </w:rPr>
              <w:t>9. Заключительные положения</w:t>
            </w:r>
          </w:p>
        </w:tc>
      </w:tr>
      <w:tr>
        <w:trPr>
          <w:trHeight w:val="590"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9.1. Настоящий договор вступает в силу с момента его подписания и действует до момента окончания исполнения Сторонами договора своих обязательств по нему.</w:t>
            </w:r>
          </w:p>
        </w:tc>
      </w:tr>
      <w:tr>
        <w:trPr>
          <w:trHeight w:val="300"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9.2. Сторонами договора рассмотрены все документы, подготовленные в связи с продажей имущества.</w:t>
            </w:r>
          </w:p>
        </w:tc>
      </w:tr>
      <w:tr>
        <w:trPr>
          <w:trHeight w:val="265"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9.3. Настоящий Договор составлен в 2-х экземплярах, имеющих одинаковую юридическую силу.</w:t>
            </w:r>
          </w:p>
        </w:tc>
      </w:tr>
      <w:tr>
        <w:trPr>
          <w:trHeight w:val="985"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9.4. По всем вопросам, не нашедшим решения в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настоящего договора, имея в виду необходимости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w:t>
            </w:r>
          </w:p>
        </w:tc>
      </w:tr>
      <w:tr>
        <w:trPr>
          <w:trHeight w:val="290" w:hRule="atLeast"/>
        </w:trPr>
        <w:tc>
          <w:tcPr>
            <w:tcW w:w="10394" w:type="dxa"/>
            <w:gridSpan w:val="11"/>
            <w:tcBorders/>
            <w:shd w:color="FFFFFF" w:fill="auto" w:val="clear"/>
            <w:vAlign w:val="bottom"/>
          </w:tcPr>
          <w:p>
            <w:pPr>
              <w:pStyle w:val="Normal"/>
              <w:bidi w:val="0"/>
              <w:spacing w:lineRule="auto" w:line="240" w:before="0" w:after="0"/>
              <w:jc w:val="center"/>
              <w:rPr>
                <w:rFonts w:ascii="Arial" w:hAnsi="Arial"/>
                <w:kern w:val="0"/>
                <w:sz w:val="16"/>
                <w:szCs w:val="20"/>
              </w:rPr>
            </w:pPr>
            <w:r>
              <w:rPr>
                <w:rFonts w:ascii="Times New Roman" w:hAnsi="Times New Roman"/>
                <w:b/>
                <w:kern w:val="0"/>
                <w:sz w:val="20"/>
                <w:szCs w:val="20"/>
              </w:rPr>
              <w:t>10. Реквизиты и подписи Сторон</w:t>
            </w:r>
          </w:p>
        </w:tc>
      </w:tr>
      <w:tr>
        <w:trPr>
          <w:trHeight w:val="290" w:hRule="atLeast"/>
        </w:trPr>
        <w:tc>
          <w:tcPr>
            <w:tcW w:w="4724" w:type="dxa"/>
            <w:gridSpan w:val="5"/>
            <w:tcBorders/>
            <w:shd w:color="FFFFFF" w:fill="auto" w:val="clear"/>
            <w:vAlign w:val="bottom"/>
          </w:tcPr>
          <w:p>
            <w:pPr>
              <w:pStyle w:val="Normal"/>
              <w:bidi w:val="0"/>
              <w:spacing w:lineRule="auto" w:line="240" w:before="0" w:after="0"/>
              <w:jc w:val="center"/>
              <w:rPr>
                <w:rFonts w:ascii="Arial" w:hAnsi="Arial"/>
                <w:kern w:val="0"/>
                <w:sz w:val="16"/>
                <w:szCs w:val="20"/>
              </w:rPr>
            </w:pPr>
            <w:r>
              <w:rPr>
                <w:rFonts w:ascii="Times New Roman" w:hAnsi="Times New Roman"/>
                <w:b/>
                <w:kern w:val="0"/>
                <w:sz w:val="20"/>
                <w:szCs w:val="20"/>
              </w:rPr>
              <w:t>Продавец:</w:t>
            </w:r>
          </w:p>
        </w:tc>
        <w:tc>
          <w:tcPr>
            <w:tcW w:w="5670" w:type="dxa"/>
            <w:gridSpan w:val="6"/>
            <w:tcBorders/>
            <w:shd w:color="FFFFFF" w:fill="auto" w:val="clear"/>
            <w:vAlign w:val="bottom"/>
          </w:tcPr>
          <w:p>
            <w:pPr>
              <w:pStyle w:val="Normal"/>
              <w:bidi w:val="0"/>
              <w:spacing w:lineRule="auto" w:line="240" w:before="0" w:after="0"/>
              <w:jc w:val="center"/>
              <w:rPr>
                <w:rFonts w:ascii="Arial" w:hAnsi="Arial"/>
                <w:kern w:val="0"/>
                <w:sz w:val="16"/>
                <w:szCs w:val="20"/>
              </w:rPr>
            </w:pPr>
            <w:r>
              <w:rPr>
                <w:rFonts w:ascii="Times New Roman" w:hAnsi="Times New Roman"/>
                <w:b/>
                <w:kern w:val="0"/>
                <w:sz w:val="20"/>
                <w:szCs w:val="20"/>
              </w:rPr>
              <w:t>Покупатель:</w:t>
            </w:r>
          </w:p>
        </w:tc>
      </w:tr>
      <w:tr>
        <w:trPr>
          <w:trHeight w:val="290" w:hRule="atLeast"/>
        </w:trPr>
        <w:tc>
          <w:tcPr>
            <w:tcW w:w="4724" w:type="dxa"/>
            <w:gridSpan w:val="5"/>
            <w:tcBorders/>
            <w:shd w:color="FFFFFF" w:fill="auto" w:val="clear"/>
            <w:vAlign w:val="bottom"/>
          </w:tcPr>
          <w:p>
            <w:pPr>
              <w:pStyle w:val="Normal"/>
              <w:bidi w:val="0"/>
              <w:spacing w:lineRule="auto" w:line="240" w:before="0" w:after="0"/>
              <w:jc w:val="center"/>
              <w:rPr>
                <w:rFonts w:ascii="Arial" w:hAnsi="Arial"/>
                <w:kern w:val="0"/>
                <w:sz w:val="16"/>
                <w:szCs w:val="20"/>
              </w:rPr>
            </w:pPr>
            <w:r>
              <w:rPr>
                <w:rFonts w:ascii="Times New Roman" w:hAnsi="Times New Roman"/>
                <w:b/>
                <w:kern w:val="0"/>
                <w:sz w:val="20"/>
                <w:szCs w:val="20"/>
              </w:rPr>
              <w:t>Гражданин РФ</w:t>
            </w:r>
          </w:p>
        </w:tc>
        <w:tc>
          <w:tcPr>
            <w:tcW w:w="5670" w:type="dxa"/>
            <w:gridSpan w:val="6"/>
            <w:tcBorders/>
            <w:shd w:color="FFFFFF" w:fill="auto" w:val="clear"/>
            <w:vAlign w:val="bottom"/>
          </w:tcPr>
          <w:p>
            <w:pPr>
              <w:pStyle w:val="Normal"/>
              <w:bidi w:val="0"/>
              <w:spacing w:lineRule="auto" w:line="240" w:before="0" w:after="0"/>
              <w:jc w:val="center"/>
              <w:rPr>
                <w:rFonts w:ascii="Arial" w:hAnsi="Arial"/>
                <w:kern w:val="0"/>
                <w:sz w:val="16"/>
                <w:szCs w:val="20"/>
              </w:rPr>
            </w:pPr>
            <w:r>
              <w:rPr>
                <w:rFonts w:ascii="Times New Roman" w:hAnsi="Times New Roman"/>
                <w:b/>
                <w:kern w:val="0"/>
                <w:sz w:val="20"/>
                <w:szCs w:val="20"/>
              </w:rPr>
              <w:t>Гражданин РФ</w:t>
            </w:r>
          </w:p>
        </w:tc>
      </w:tr>
      <w:tr>
        <w:trPr/>
        <w:tc>
          <w:tcPr>
            <w:tcW w:w="4724" w:type="dxa"/>
            <w:gridSpan w:val="5"/>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b/>
                <w:kern w:val="0"/>
                <w:sz w:val="20"/>
                <w:szCs w:val="20"/>
              </w:rPr>
              <w:t>Арутюнян Артак Григорьевич (30.11.1980г.р., место рожд: с. Гогаран Спитакского р-на Арм. ССР, адрес рег: 443010, Самарская обл, Самара г, Куйбышева пл, дом № 45, квартира 7, СНИЛС17386512090, ИНН 631408032020, паспорт РФ серия 3609, номер 177751, выдан 13.11.2009, кем выдан Отделением УФМС России по Самарской области в Куйбышевском районе гор. Самары, код подразделения 630-032)</w:t>
            </w:r>
          </w:p>
        </w:tc>
        <w:tc>
          <w:tcPr>
            <w:tcW w:w="5670" w:type="dxa"/>
            <w:gridSpan w:val="6"/>
            <w:vMerge w:val="restart"/>
            <w:tcBorders/>
            <w:shd w:color="FFFFFF" w:fill="auto" w:val="clear"/>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r>
      <w:tr>
        <w:trPr/>
        <w:tc>
          <w:tcPr>
            <w:tcW w:w="4724" w:type="dxa"/>
            <w:gridSpan w:val="5"/>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Наименование банка: ФИЛИАЛ "ЦЕНТРАЛЬНЫЙ" ПАО "СОВКОМБАНК"</w:t>
              <w:br/>
              <w:t>ИНН 4401116480</w:t>
              <w:br/>
              <w:t>ОГРН 1144400000425</w:t>
              <w:br/>
              <w:t>БИК 045004763</w:t>
              <w:br/>
              <w:t>КПП 440101001</w:t>
              <w:br/>
              <w:t>к/сч 30101810150040000763</w:t>
              <w:br/>
              <w:t>счет Арутюняна Артака Григорьевича 40817810250172051901</w:t>
            </w:r>
            <w:r>
              <w:rPr>
                <w:rFonts w:ascii="Times New Roman" w:hAnsi="Times New Roman"/>
                <w:kern w:val="0"/>
                <w:sz w:val="20"/>
                <w:szCs w:val="20"/>
              </w:rPr>
              <w:t>(ИНН 631408032020)</w:t>
            </w:r>
            <w:r>
              <w:rPr>
                <w:rFonts w:ascii="Times New Roman" w:hAnsi="Times New Roman"/>
                <w:kern w:val="0"/>
                <w:sz w:val="20"/>
                <w:szCs w:val="20"/>
              </w:rPr>
              <w:t>,</w:t>
            </w:r>
          </w:p>
        </w:tc>
        <w:tc>
          <w:tcPr>
            <w:tcW w:w="5670" w:type="dxa"/>
            <w:gridSpan w:val="6"/>
            <w:vMerge w:val="continue"/>
            <w:tcBorders/>
            <w:shd w:color="FFFFFF" w:fill="auto" w:val="clear"/>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r>
      <w:tr>
        <w:trPr/>
        <w:tc>
          <w:tcPr>
            <w:tcW w:w="4724" w:type="dxa"/>
            <w:gridSpan w:val="5"/>
            <w:tcBorders/>
            <w:shd w:color="FFFFFF" w:fill="auto" w:val="clear"/>
            <w:vAlign w:val="bottom"/>
          </w:tcPr>
          <w:p>
            <w:pPr>
              <w:pStyle w:val="Normal"/>
              <w:bidi w:val="0"/>
              <w:spacing w:lineRule="auto" w:line="240" w:before="0" w:after="0"/>
              <w:jc w:val="left"/>
              <w:rPr>
                <w:rFonts w:ascii="Arial" w:hAnsi="Arial"/>
                <w:kern w:val="0"/>
                <w:sz w:val="16"/>
                <w:szCs w:val="20"/>
              </w:rPr>
            </w:pPr>
            <w:r>
              <w:rPr>
                <w:rFonts w:ascii="Arial" w:hAnsi="Arial"/>
                <w:kern w:val="0"/>
                <w:sz w:val="16"/>
                <w:szCs w:val="20"/>
              </w:rPr>
            </w:r>
          </w:p>
        </w:tc>
        <w:tc>
          <w:tcPr>
            <w:tcW w:w="5670" w:type="dxa"/>
            <w:gridSpan w:val="6"/>
            <w:vMerge w:val="continue"/>
            <w:tcBorders/>
            <w:shd w:color="FFFFFF" w:fill="auto" w:val="clear"/>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r>
      <w:tr>
        <w:trPr/>
        <w:tc>
          <w:tcPr>
            <w:tcW w:w="4724" w:type="dxa"/>
            <w:gridSpan w:val="5"/>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c>
          <w:tcPr>
            <w:tcW w:w="5670" w:type="dxa"/>
            <w:gridSpan w:val="6"/>
            <w:vMerge w:val="continue"/>
            <w:tcBorders/>
            <w:shd w:color="FFFFFF" w:fill="auto" w:val="clear"/>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r>
      <w:tr>
        <w:trPr/>
        <w:tc>
          <w:tcPr>
            <w:tcW w:w="944" w:type="dxa"/>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c>
          <w:tcPr>
            <w:tcW w:w="5670" w:type="dxa"/>
            <w:gridSpan w:val="6"/>
            <w:vMerge w:val="continue"/>
            <w:tcBorders/>
            <w:shd w:color="FFFFFF" w:fill="auto" w:val="clear"/>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r>
      <w:tr>
        <w:trPr/>
        <w:tc>
          <w:tcPr>
            <w:tcW w:w="4724" w:type="dxa"/>
            <w:gridSpan w:val="5"/>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b/>
                <w:kern w:val="0"/>
                <w:sz w:val="20"/>
                <w:szCs w:val="20"/>
              </w:rPr>
              <w:t>Финансовый управляющий</w:t>
            </w:r>
          </w:p>
        </w:tc>
        <w:tc>
          <w:tcPr>
            <w:tcW w:w="5670" w:type="dxa"/>
            <w:gridSpan w:val="6"/>
            <w:vMerge w:val="continue"/>
            <w:tcBorders/>
            <w:shd w:color="FFFFFF" w:fill="auto" w:val="clear"/>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r>
      <w:tr>
        <w:trPr/>
        <w:tc>
          <w:tcPr>
            <w:tcW w:w="4724" w:type="dxa"/>
            <w:gridSpan w:val="5"/>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b/>
                <w:kern w:val="0"/>
                <w:sz w:val="20"/>
                <w:szCs w:val="20"/>
              </w:rPr>
              <w:t>Арутюняна Артака Григорьевича</w:t>
            </w:r>
          </w:p>
        </w:tc>
        <w:tc>
          <w:tcPr>
            <w:tcW w:w="946" w:type="dxa"/>
            <w:tcBorders/>
            <w:shd w:color="FFFFFF" w:fill="auto" w:val="clear"/>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c>
          <w:tcPr>
            <w:tcW w:w="944" w:type="dxa"/>
            <w:tcBorders/>
            <w:shd w:color="FFFFFF" w:fill="auto" w:val="clear"/>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r>
      <w:tr>
        <w:trPr/>
        <w:tc>
          <w:tcPr>
            <w:tcW w:w="4724" w:type="dxa"/>
            <w:gridSpan w:val="5"/>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b/>
                <w:kern w:val="0"/>
                <w:sz w:val="20"/>
                <w:szCs w:val="20"/>
              </w:rPr>
              <w:t>Кудашева Елизавета Владимировна</w:t>
            </w:r>
          </w:p>
        </w:tc>
        <w:tc>
          <w:tcPr>
            <w:tcW w:w="2836" w:type="dxa"/>
            <w:gridSpan w:val="3"/>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c>
          <w:tcPr>
            <w:tcW w:w="2834" w:type="dxa"/>
            <w:gridSpan w:val="3"/>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r>
    </w:tbl>
    <w:sectPr>
      <w:type w:val="nextPage"/>
      <w:pgSz w:w="11906" w:h="16838"/>
      <w:pgMar w:left="567" w:right="567" w:gutter="0" w:header="0" w:top="567" w:footer="0" w:bottom="567"/>
      <w:pgNumType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Liberation Sans">
    <w:altName w:val="Arial"/>
    <w:charset w:val="cc"/>
    <w:family w:val="swiss"/>
    <w:pitch w:val="variable"/>
  </w:font>
  <w:font w:name="Times New Roman">
    <w:charset w:val="cc"/>
    <w:family w:val="roman"/>
    <w:pitch w:val="variable"/>
  </w:font>
  <w:font w:name="Arial">
    <w:charset w:val="cc"/>
    <w:family w:val="roman"/>
    <w:pitch w:val="variable"/>
  </w:font>
</w:fonts>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NSimSun" w:cs="Arial"/>
        <w:kern w:val="2"/>
        <w:sz w:val="22"/>
        <w:szCs w:val="24"/>
        <w:lang w:val="ru-RU" w:eastAsia="zh-CN" w:bidi="hi-IN"/>
      </w:rPr>
    </w:rPrDefault>
    <w:pPrDefault>
      <w:pPr>
        <w:suppressAutoHyphens w:val="true"/>
      </w:pPr>
    </w:pPrDefault>
  </w:docDefaults>
  <w:style w:type="paragraph" w:styleId="Normal">
    <w:name w:val="Normal"/>
    <w:qFormat/>
    <w:pPr>
      <w:widowControl w:val="false"/>
      <w:bidi w:val="0"/>
    </w:pPr>
    <w:rPr>
      <w:rFonts w:ascii="Calibri" w:hAnsi="Calibri" w:eastAsia="NSimSun" w:cs="Arial"/>
      <w:color w:val="auto"/>
      <w:kern w:val="2"/>
      <w:sz w:val="22"/>
      <w:szCs w:val="24"/>
      <w:lang w:val="ru-RU" w:eastAsia="zh-CN" w:bidi="hi-IN"/>
    </w:rPr>
  </w:style>
  <w:style w:type="paragraph" w:styleId="Style14">
    <w:name w:val="Заголовок"/>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Style15">
    <w:name w:val="Указатель"/>
    <w:basedOn w:val="Normal"/>
    <w:qFormat/>
    <w:pPr>
      <w:suppressLineNumbers/>
    </w:pPr>
    <w:rPr>
      <w:rFonts w:cs="Arial"/>
    </w:rPr>
  </w:style>
  <w:style w:type="table" w:styleId="TableStyle0">
    <w:name w:val="TableStyle0"/>
    <w:pPr>
      <w:spacing w:after="0" w:line="240" w:lineRule="auto"/>
    </w:pPr>
    <w:rPr>
      <w:sz w:val="16"/>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2</TotalTime>
  <Application>LibreOffice/7.6.4.1$Windows_X86_64 LibreOffice_project/e19e193f88cd6c0525a17fb7a176ed8e6a3e2aa1</Application>
  <AppVersion>15.0000</AppVersion>
  <Pages>3</Pages>
  <Words>1192</Words>
  <Characters>8530</Characters>
  <CharactersWithSpaces>9675</CharactersWithSpaces>
  <Paragraphs>58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ru-RU</dc:language>
  <cp:lastModifiedBy/>
  <dcterms:modified xsi:type="dcterms:W3CDTF">2024-02-21T12:53:25Z</dcterms:modified>
  <cp:revision>1</cp:revision>
  <dc:subject/>
  <dc:title/>
</cp:coreProperties>
</file>