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Default Extension="png" ContentType="image/png"/>
  <Override PartName="/word/settings.xml" ContentType="application/vnd.openxmlformats-officedocument.wordprocessingml.setting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webSettings.xml" ContentType="application/vnd.openxmlformats-officedocument.wordprocessingml.webSettings+xml"/>
</Types>
</file>

<file path=_rels/.rels>&#65279;<?xml version="1.0" encoding="UTF-8" standalone="yes"?>
<Relationships xmlns="http://schemas.openxmlformats.org/package/2006/relationships">
	<Relationship Id="rId1"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ve="http://schemas.openxmlformats.org/markup-compatibility/2006" xmlns:w="http://schemas.openxmlformats.org/wordprocessingml/2006/main" xmlns:w10="urn:schemas-microsoft-com:office:word" xmlns:wne="http://schemas.microsoft.com/office/word/2006/wordml">
  <w:body>
    <w:tbl>
      <w:tblPr>
        <w:tblStyle w:val="TableStyle0"/>
        <w:tblW w:w="10395" w:type="dxa"/>
        <w:tblLayout w:type="fixed"/>
        <w:tblCellMar>
          <w:left w:w="0" w:type="dxa"/>
          <w:right w:w="0" w:type="dxa"/>
        </w:tblCellMar>
        <w:tblLook w:val="04A0"/>
      </w:tblPr>
      <w:tblGrid>
        <w:gridCol w:w="945"/>
        <w:gridCol w:w="945"/>
        <w:gridCol w:w="945"/>
        <w:gridCol w:w="945"/>
        <w:gridCol w:w="945"/>
        <w:gridCol w:w="945"/>
        <w:gridCol w:w="945"/>
        <w:gridCol w:w="945"/>
        <w:gridCol w:w="945"/>
        <w:gridCol w:w="945"/>
        <w:gridCol w:w="945"/>
      </w:tblGrid>
      <w:tr>
        <w:trPr>
          <w:trHeight w:val="315"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ДОГОВОР</w:t>
            </w:r>
          </w:p>
        </w:tc>
      </w:tr>
      <w:tr>
        <w:trPr>
          <w:trHeight w:val="270"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купли-продажи</w:t>
            </w:r>
          </w:p>
        </w:tc>
      </w:tr>
      <w:tr>
        <w:trPr>
          <w:trHeight w:val="270" w:hRule="exact"/>
        </w:trPr>
        <w:tc>
          <w:tcPr>
            <w:tcW w:w="9450" w:type="dxa"/>
            <w:gridSpan w:val="10"/>
            <w:shd w:val="clear" w:color="FFFFFF" w:fill="auto"/>
            <w:textDirection w:val="lrTb"/>
            <w:vAlign w:val="top"/>
          </w:tcPr>
          <w:p>
            <w:pPr>
              <w:wordWrap w:val="1"/>
              <w:jc w:val="both"/>
              <w:rPr>
                <w:rFonts w:ascii="Times New Roman" w:hAnsi="Times New Roman"/>
                <w:sz w:val="20"/>
                <w:szCs w:val="20"/>
              </w:rPr>
            </w:pPr>
          </w:p>
        </w:tc>
        <w:tc>
          <w:tcPr>
            <w:tcW w:w="945" w:type="dxa"/>
            <w:shd w:val="clear" w:color="FFFFFF" w:fill="auto"/>
            <w:textDirection w:val="lrTb"/>
            <w:vAlign w:val="bottom"/>
          </w:tcPr>
          <w:p>
            <w:pPr>
              <w:wordWrap w:val="1"/>
              <w:jc w:val="center"/>
              <w:rPr>
                <w:rFonts w:ascii="Times New Roman" w:hAnsi="Times New Roman"/>
                <w:b/>
                <w:sz w:val="20"/>
                <w:szCs w:val="20"/>
              </w:rPr>
            </w:pPr>
          </w:p>
        </w:tc>
      </w:tr>
      <w:tr>
        <w:trPr>
          <w:trHeight w:val="30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Мы, нижеподписавшиеся:</w:t>
            </w:r>
          </w:p>
        </w:tc>
      </w:tr>
      <w:tr>
        <w:trPr>
          <w:trHeight w:val="169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Гражданин РФ Мустафин Алик Азатович (21.01.1987г.р., место рожд: с. Нижнебалтачево Татышлинского района Респ. Башкортостан , адрес рег: 623285, Свердловская обл, Ревда г, Циолковского ул, дом № 8, СНИЛС14135737748, ИНН 024301986524, паспорт РФ серия 8009, номер 962091, выдан 24.12.2009, кем выдан Отделением УФМС России по Республике Башкортостан в Татышлинском районе , код подразделения 020-063), в лице Гражданина РФ Финансового управляющего Сергиенко Светланы Данисовны (ИНН 744201856386, СНИЛС 14083812042, рег.номер 22154), действующего на основании решения Арбитражного суда Свердловской области от 10.05.2023г. по делу №А60-16639/2023, именуемый в дальнейшем «Продавец», с одной стороны, и </w:t>
            </w:r>
          </w:p>
        </w:tc>
      </w:tr>
      <w:tr>
        <w:trPr>
          <w:trHeight w:val="49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Гражданин РФ , именуемый в дальнейшем «Покупатель» с другой стороны, а совместно именуемые «Стороны», заключили настоящий договор о нижеследующем,</w:t>
            </w:r>
          </w:p>
        </w:tc>
      </w:tr>
      <w:tr>
        <w:trPr>
          <w:trHeight w:val="300"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1.  Предмет договора</w:t>
            </w:r>
          </w:p>
        </w:tc>
      </w:tr>
      <w:tr>
        <w:trPr>
          <w:trHeight w:val="121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ДоговорКуплиПродажиТекст2 </w:t>
              <w:br/>
              <w:t>
             1.1.  В соответствии с Протоколом №  от 30.01.2024г. по продаже имущества Мустафина Алика Азатовича, размещенным на торговой площадке  АО "РАД" (https://lot-online.ru/)  (далее по тексту – "Протокол"), Продавец обязуется передать в собственность Покупателя, признанного Победителем указанных торгов, имущество, выигранное на этих торгах, а именно: Автомобиль легковой, марка: газ, модель: 33021, VIN: XTH33021011815559 (далее - Имущество).</w:t>
            </w:r>
          </w:p>
        </w:tc>
      </w:tr>
      <w:tr>
        <w:trPr>
          <w:trHeight w:val="300" w:hRule="exact"/>
        </w:trPr>
        <w:tc>
          <w:tcPr>
            <w:tcW w:w="10395" w:type="dxa"/>
            <w:gridSpan w:val="11"/>
            <w:shd w:val="clear" w:color="FFFFFF" w:fill="FFFFFF"/>
            <w:textDirection w:val="lrTb"/>
            <w:vAlign w:val="bottom"/>
          </w:tcPr>
          <w:p>
            <w:pPr>
              <w:wordWrap w:val="1"/>
              <w:jc w:val="both"/>
              <w:rPr>
                <w:rFonts w:ascii="Times New Roman" w:hAnsi="Times New Roman"/>
                <w:sz w:val="20"/>
                <w:szCs w:val="20"/>
              </w:rPr>
            </w:pPr>
          </w:p>
        </w:tc>
      </w:tr>
      <w:tr>
        <w:trPr>
          <w:trHeight w:val="289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1.2. Транспортное средство принадлежит супругу Продавца (Мустафиной Оксане Маратовне) на праве собственности на основании Паспорта транспортного средства , Свидетельства о регистрации ТС .</w:t>
              <w:br/>
              <w:t>
В соответствии с Постановлением Пленума Верховного Суда Российской Федерации от 25 декабря 2018 г. N 48 г. Москва "О некоторых вопросах, связанных с особенностями формирования и распределения конкурсной массы в делах о банкротстве граждан" п.п. 7, 8.  В деле о банкротстве гражданина-должника, по общему правилу, подлежит реализации его личное имущество, а также имущество, принадлежащее ему и супругу (бывшему супругу) на праве общей собственности (пункт 7 статьи 21326 Закона о банкротстве, пункты 1 и 2 статьи 34, статья 36 СК РФ).</w:t>
              <w:br/>
              <w:t>
    Если супругами не заключались внесудебное соглашение о разделе общего имущества, брачный договор либо если судом не производился раздел общего имущества супругов, при определении долей супругов в этом имуществе следует исходить из презумпции равенства долей супругов в общем имуществе (пункт 1 статьи 39 СК РФ) и при отсутствии общих обязательств супругов перечислять супругу гражданина-должника половину средств, вырученных от реализации общего имущества супругов (до погашения текущих обязательств).</w:t>
              <w:br/>
              <w:t>
</w:t>
            </w:r>
          </w:p>
        </w:tc>
      </w:tr>
      <w:tr>
        <w:trPr>
          <w:trHeight w:val="49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1.3. На момент составления Договора купли-продажи на вышеуказанном имуществе обременения/ограничения отсутствуют.</w:t>
            </w:r>
          </w:p>
        </w:tc>
      </w:tr>
      <w:tr>
        <w:trPr>
          <w:trHeight w:val="300"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2. Обязанности Сторон</w:t>
            </w:r>
          </w:p>
        </w:tc>
      </w:tr>
      <w:tr>
        <w:trPr>
          <w:trHeight w:val="30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2.1. Продавец обязуется:</w:t>
            </w:r>
          </w:p>
        </w:tc>
      </w:tr>
      <w:tr>
        <w:trPr>
          <w:trHeight w:val="30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2.1.1. Передать Покупателю Имущество по акту приема-передачи.</w:t>
            </w:r>
          </w:p>
        </w:tc>
      </w:tr>
      <w:tr>
        <w:trPr>
          <w:trHeight w:val="73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2.1.2. Передать Покупателю по акту приема-передачи, все необходимые документы для регистрации перехода права собственности на выигранное на открытых торгах Имущество, в течение 30 (тридцати) рабочих дней с момента поступления на расчетный счет Продавца денежных средств в соответствии с настоящим договором.</w:t>
            </w:r>
          </w:p>
        </w:tc>
      </w:tr>
      <w:tr>
        <w:trPr>
          <w:trHeight w:val="30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2.2. Покупатель обязан:</w:t>
            </w:r>
          </w:p>
        </w:tc>
      </w:tr>
      <w:tr>
        <w:trPr>
          <w:trHeight w:val="285" w:hRule="exact"/>
        </w:trPr>
        <w:tc>
          <w:tcPr>
            <w:tcW w:w="10395" w:type="dxa"/>
            <w:gridSpan w:val="11"/>
            <w:shd w:val="clear" w:color="FFFFFF" w:fill="auto"/>
            <w:textDirection w:val="lrTb"/>
            <w:vAlign w:val="bottom"/>
          </w:tcPr>
          <w:p>
            <w:pPr>
              <w:wordWrap w:val="1"/>
              <w:jc w:val="left"/>
              <w:rPr>
                <w:rFonts w:ascii="Times New Roman" w:hAnsi="Times New Roman"/>
                <w:sz w:val="20"/>
                <w:szCs w:val="20"/>
              </w:rPr>
            </w:pPr>
            <w:r>
              <w:rPr>
                <w:rFonts w:ascii="Times New Roman" w:hAnsi="Times New Roman"/>
                <w:sz w:val="20"/>
                <w:szCs w:val="20"/>
              </w:rPr>
              <w:t xml:space="preserve">                2.2.1. Оплатить полную стоимость имущества в соответствии с настоящим договором.</w:t>
            </w:r>
          </w:p>
        </w:tc>
      </w:tr>
      <w:tr>
        <w:trPr>
          <w:trHeight w:val="49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2.2.2. В течение 30 (тридцати) рабочих дней со дня исполнения всех своих обязательств, предусмотренных настоящим договором, принять от Продавца имущество по акту приема-передачи.</w:t>
            </w:r>
          </w:p>
        </w:tc>
      </w:tr>
      <w:tr>
        <w:trPr>
          <w:trHeight w:val="300"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3. Цена и порядок расчетов</w:t>
            </w:r>
          </w:p>
        </w:tc>
      </w:tr>
      <w:tr>
        <w:trPr>
          <w:trHeight w:val="300" w:hRule="exact"/>
        </w:trPr>
        <w:tc>
          <w:tcPr>
            <w:tcW w:w="10395" w:type="dxa"/>
            <w:gridSpan w:val="11"/>
            <w:shd w:val="clear" w:color="FFFFFF" w:fill="auto"/>
            <w:textDirection w:val="lrTb"/>
            <w:vAlign w:val="bottom"/>
          </w:tcPr>
          <w:p>
            <w:pPr>
              <w:wordWrap w:val="1"/>
              <w:jc w:val="left"/>
              <w:rPr>
                <w:rFonts w:ascii="Times New Roman" w:hAnsi="Times New Roman"/>
                <w:sz w:val="20"/>
                <w:szCs w:val="20"/>
              </w:rPr>
            </w:pPr>
            <w:r>
              <w:rPr>
                <w:rFonts w:ascii="Times New Roman" w:hAnsi="Times New Roman"/>
                <w:sz w:val="20"/>
                <w:szCs w:val="20"/>
              </w:rPr>
              <w:t xml:space="preserve">                3.1. Стоимость имущества составляет:</w:t>
            </w:r>
          </w:p>
        </w:tc>
      </w:tr>
      <w:tr>
        <w:trPr>
          <w:trHeight w:val="97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(Ноль) рублей 00 копеек без учета НДС (подпункт 15 п.2 ст.146 НК), Задаток, оплаченный Покупателем, составляет  (Ноль) рублей 00 копеек, итоговая сумма оплаты Покупателем составляет ( (Ноль) рублей 00 копеек. Цена настоящего договора установлена по результатам проведения торгов, которые проводились 30.01.2024г. на сайте https://lot-online.ru/, является окончательной и изменению не подлежит.</w:t>
            </w:r>
          </w:p>
        </w:tc>
      </w:tr>
      <w:tr>
        <w:trPr>
          <w:trHeight w:val="52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3.2. Расходы по переходу права собственности и иные, не указанные в настоящем договоре возможные расходы, необходимые для исполнения договорных обязательств, несет Покупатель.</w:t>
            </w:r>
          </w:p>
        </w:tc>
      </w:tr>
      <w:tr>
        <w:trPr>
          <w:trHeight w:val="49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3.3. Оплата стоимости имущества по настоящему договору осуществляется Покупателем безналичным платежом на расчетный счет:</w:t>
            </w:r>
          </w:p>
        </w:tc>
      </w:tr>
      <w:tr>
        <w:trPr>
          <w:trHeight w:val="300" w:hRule="exact"/>
        </w:trPr>
        <w:tc>
          <w:tcPr>
            <w:tcW w:w="10395" w:type="dxa"/>
            <w:gridSpan w:val="11"/>
            <w:shd w:val="clear" w:color="FFFFFF" w:fill="auto"/>
            <w:textDirection w:val="lrTb"/>
            <w:vAlign w:val="bottom"/>
          </w:tcPr>
          <w:p>
            <w:pPr>
              <w:wordWrap w:val="1"/>
              <w:jc w:val="left"/>
              <w:rPr>
                <w:rFonts w:ascii="Times New Roman" w:hAnsi="Times New Roman"/>
                <w:sz w:val="20"/>
                <w:szCs w:val="20"/>
              </w:rPr>
            </w:pPr>
          </w:p>
        </w:tc>
      </w:tr>
      <w:tr>
        <w:trPr>
          <w:trHeight w:val="1455" w:hRule="exact"/>
        </w:trPr>
        <w:tc>
          <w:tcPr>
            <w:tcW w:w="10395" w:type="dxa"/>
            <w:gridSpan w:val="11"/>
            <w:shd w:val="clear" w:color="FFFFFF" w:fill="auto"/>
            <w:textDirection w:val="lrTb"/>
            <w:vAlign w:val="bottom"/>
          </w:tcPr>
          <w:p>
            <w:pPr>
              <w:wordWrap w:val="1"/>
              <w:jc w:val="left"/>
              <w:rPr>
                <w:rFonts w:ascii="Times New Roman" w:hAnsi="Times New Roman"/>
                <w:sz w:val="20"/>
                <w:szCs w:val="20"/>
              </w:rPr>
            </w:pPr>
            <w:r>
              <w:rPr>
                <w:rFonts w:ascii="Times New Roman" w:hAnsi="Times New Roman"/>
                <w:sz w:val="20"/>
                <w:szCs w:val="20"/>
              </w:rPr>
              <w:t>Получатель: Мустафин Алик Азатович (ИНН 024301986524),</w:t>
              <w:br/>
              <w:t>
Р/СЧ 40817810650168489433</w:t>
              <w:br/>
              <w:t>
ИНН БАНКА 4401116480</w:t>
              <w:br/>
              <w:t>
БИК 045004763</w:t>
              <w:br/>
              <w:t>
КР/СЧ 30101810150040000763</w:t>
              <w:br/>
              <w:t>
НАИМЕНОВАНИЕ БАНКА ФИЛИАЛ "ЦЕНТРАЛЬНЫЙ" ПАО "СОВКОМБАНК" (БЕРДСК)   </w:t>
            </w:r>
          </w:p>
        </w:tc>
      </w:tr>
      <w:tr>
        <w:trPr>
          <w:trHeight w:val="300" w:hRule="exact"/>
        </w:trPr>
        <w:tc>
          <w:tcPr>
            <w:tcW w:w="10395" w:type="dxa"/>
            <w:gridSpan w:val="11"/>
            <w:shd w:val="clear" w:color="FFFFFF" w:fill="auto"/>
            <w:textDirection w:val="lrTb"/>
            <w:vAlign w:val="bottom"/>
          </w:tcPr>
          <w:p>
            <w:pPr>
              <w:wordWrap w:val="1"/>
              <w:jc w:val="left"/>
              <w:rPr>
                <w:rFonts w:ascii="Times New Roman" w:hAnsi="Times New Roman"/>
                <w:sz w:val="20"/>
                <w:szCs w:val="20"/>
              </w:rPr>
            </w:pPr>
            <w:r>
              <w:rPr>
                <w:rFonts w:ascii="Times New Roman" w:hAnsi="Times New Roman"/>
                <w:sz w:val="20"/>
                <w:szCs w:val="20"/>
              </w:rPr>
              <w:t>в течение тридцати дней с даты подписания настоящего договора.</w:t>
            </w:r>
          </w:p>
        </w:tc>
      </w:tr>
      <w:tr>
        <w:trPr>
          <w:trHeight w:val="73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Моментом надлежащей оплаты по настоящему договору считать момент перечисления банком Покупателя либо банком-корреспондентом предусмотренных настоящим договором сумм в банк Продавца для их дальнейшего зачисления на счет Продавца.</w:t>
            </w:r>
          </w:p>
        </w:tc>
      </w:tr>
      <w:tr>
        <w:trPr>
          <w:trHeight w:val="300"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4. Передача имущества и переход риска случайной гибели имущества</w:t>
            </w:r>
          </w:p>
        </w:tc>
      </w:tr>
      <w:tr>
        <w:trPr>
          <w:trHeight w:val="93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4.1. Продавец в течение 30 (тридцати) рабочих дней со дня исполнения Покупателем всех своих обязательств, предусмотренных настоящим договором, обязан передать Покупателю Имущество. Передача имущества осуществляется посредством подписания Сторонами акта приема-передачи. Момент подписания акта приема-передачи является моментом передачи Имущества Покупателю.</w:t>
            </w:r>
          </w:p>
        </w:tc>
      </w:tr>
      <w:tr>
        <w:trPr>
          <w:trHeight w:val="69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4.2. Стороны договора определили, что Продавец осуществляет подготовку Имущества к передаче его Покупателю, в том числе составление и представление на подписание акта приема-передачи. Указанные действия осуществляются Продавцом своими силами и за свой счет.</w:t>
            </w:r>
          </w:p>
        </w:tc>
      </w:tr>
      <w:tr>
        <w:trPr>
          <w:trHeight w:val="79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4.3. Имущество, полагают Стороны договора, будет считаться переданным от Продавца Покупателю с момента подписания акта приема-передачи обеими Сторонами договора. С этого момента на Покупателя переходит риск случайной гибели или случайного повреждения имущества, переданного Покупателю.</w:t>
            </w:r>
          </w:p>
        </w:tc>
      </w:tr>
      <w:tr>
        <w:trPr>
          <w:trHeight w:val="69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4.4. В случае, если Покупатель уклоняется от подписания акта приема-передачи по истечении 30 (тридцати) рабочих дней со дня исполнения Покупателем всех своих обязательств, риск случайной гибели или случайного повреждения Имущества переходит на него.</w:t>
            </w:r>
          </w:p>
        </w:tc>
      </w:tr>
      <w:tr>
        <w:trPr>
          <w:trHeight w:val="285"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5. Возникновение права собственности</w:t>
            </w:r>
          </w:p>
        </w:tc>
      </w:tr>
      <w:tr>
        <w:trPr>
          <w:trHeight w:val="127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5.1. Право собственности Имуществом возникает у Покупателя с момента подписания акта приема-передачи Имуществом либо по истечении 30 (тридцати) рабочих дней со дня исполнения Покупателем всех своих обязательств в случае, если Покупатель уклоняется от подписания акта приема-передачи. Покупатель до подписания настоящего договора ознакомился с техническим состоянием Имущества. Имущество передано в надлежащем качественном состоянии.</w:t>
            </w:r>
          </w:p>
        </w:tc>
      </w:tr>
      <w:tr>
        <w:trPr>
          <w:trHeight w:val="285"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6. Ответственность Сторон</w:t>
            </w:r>
          </w:p>
        </w:tc>
      </w:tr>
      <w:tr>
        <w:trPr>
          <w:trHeight w:val="51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6.1. Любая из Сторон настоящего договора, не исполнившая обязательства по договору или исполнившая их ненадлежащим образом, несет ответственность за упомянутое при наличии вины (умысла или неосторожности).</w:t>
            </w:r>
          </w:p>
        </w:tc>
      </w:tr>
      <w:tr>
        <w:trPr>
          <w:trHeight w:val="52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6.2. Отсутствие вины за неисполнение или ненадлежащее исполнение обязательств по договору доказывается Стороной, нарушившей обязательства.</w:t>
            </w:r>
          </w:p>
        </w:tc>
      </w:tr>
      <w:tr>
        <w:trPr>
          <w:trHeight w:val="222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6.3. Сторона, не исполнившая или ненадлежащим образом исполнившая свои обязательства по договору при выполнении его условий, несет ответственность, если не докажет, что надлежащее исполнение обязательств оказалось невозможным вследствие непреодолимой силы (форс-мажор), т. е. чрезвычайных и непредотвратимых обстоятельств при конкретных условиях конкретного периода времени. К обстоятельствам непреодолимой силы Стороны настоящего договора отнесли такие: явления стихийного характера (землетрясение, наводнение, удар молнии, извержение вулкана, сель, оползень, цунами и т. п.), температуру, силу ветра и уровень осадков в месте исполнения обязательств по договору, исключающих для человека нормальную жизнедеятельность; мораторий органов власти и управления; забастовки, организованные в установленном законом порядке, и другие обстоятельства, которые могут быть определены Сторонами договора как непреодолимая сила для надлежащего исполнения обязательств.</w:t>
            </w:r>
          </w:p>
        </w:tc>
      </w:tr>
      <w:tr>
        <w:trPr>
          <w:trHeight w:val="285"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7. Порядок разрешения споров</w:t>
            </w:r>
          </w:p>
        </w:tc>
      </w:tr>
      <w:tr>
        <w:trPr>
          <w:trHeight w:val="54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7.1. Споры, вытекающие из настоящего Договора, подлежат рассмотрению в арбитражном суде в порядке, предусмотренном действующим законодательством РФ.</w:t>
            </w:r>
          </w:p>
        </w:tc>
      </w:tr>
      <w:tr>
        <w:trPr>
          <w:trHeight w:val="285"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8. Условия изменения и расторжения договора</w:t>
            </w:r>
          </w:p>
        </w:tc>
      </w:tr>
      <w:tr>
        <w:trPr>
          <w:trHeight w:val="58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8.1. Расторжение настоящего договора осуществляется в порядке, предусмотренном законодательством Российской Федерации, без возврата внесенного задатка.</w:t>
            </w:r>
          </w:p>
        </w:tc>
      </w:tr>
      <w:tr>
        <w:trPr>
          <w:trHeight w:val="76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8.2. Если покупатель в нарушение договора купли-продажи отказывается принять и оплатить товар, продавец вправе по своему выбору потребовать оплаты товара либо отказаться от исполнения договора  (п. 4 ст. 486 Гражданского Кодекса Российской Федерации).</w:t>
              <w:br/>
              <w:t>
</w:t>
            </w:r>
          </w:p>
        </w:tc>
      </w:tr>
      <w:tr>
        <w:trPr>
          <w:trHeight w:val="102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8.3. Право на односторонний отказ от договора (исполнения договора) (статья 310 Гражданского Кодекса Российской Федерации) может быть осуществлено управомоченной стороной путем уведомления другой стороны об отказе от договора (исполнения договора). Договор прекращается с момента получения данного уведомления, если иное не предусмотрено настоящим Кодексом, другими законами, иными правовыми актами или договором.</w:t>
              <w:br/>
              <w:t>
</w:t>
            </w:r>
          </w:p>
        </w:tc>
      </w:tr>
      <w:tr>
        <w:trPr>
          <w:trHeight w:val="78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В случае одностороннего отказа от договора (исполнения договора) полностью или частично, если такой отказ допускается, договор считается расторгнутым или измененным. (пп. 1, 2 Статья 450.1. Гражданского Кодекса Российской Федерации).</w:t>
            </w:r>
          </w:p>
        </w:tc>
      </w:tr>
      <w:tr>
        <w:trPr>
          <w:trHeight w:val="285"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9. Заключительные положения</w:t>
            </w:r>
          </w:p>
        </w:tc>
      </w:tr>
      <w:tr>
        <w:trPr>
          <w:trHeight w:val="58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9.1. Настоящий договор вступает в силу с момента его подписания и действует до момента окончания исполнения Сторонами договора своих обязательств по нему.</w:t>
            </w:r>
          </w:p>
        </w:tc>
      </w:tr>
      <w:tr>
        <w:trPr>
          <w:trHeight w:val="30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9.2. Сторонами договора рассмотрены все документы, подготовленные в связи с продажей имущества.</w:t>
            </w:r>
          </w:p>
        </w:tc>
      </w:tr>
      <w:tr>
        <w:trPr>
          <w:trHeight w:val="27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9.3. Настоящий Договор составлен в 2-х экземплярах, имеющих одинаковую юридическую силу.</w:t>
            </w:r>
          </w:p>
        </w:tc>
      </w:tr>
      <w:tr>
        <w:trPr>
          <w:trHeight w:val="99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9.4. По всем вопросам, не нашедшим решения в условиях настоящего договора, но прямо или косвенно вытекающим из отношений Сторон по нему, затрагивающих имущественные интересы и деловую репутацию Сторон настоящего договора, имея в виду необходимости защиты их охраняемых законом прав и интересов, Стороны настоящего договора будут руководствоваться нормами и положениями действующего законодательства Российской Федерации.</w:t>
            </w:r>
          </w:p>
        </w:tc>
      </w:tr>
      <w:tr>
        <w:trPr>
          <w:trHeight w:val="285"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10. Реквизиты и подписи Сторон</w:t>
            </w:r>
          </w:p>
        </w:tc>
      </w:tr>
      <w:tr>
        <w:trPr>
          <w:trHeight w:val="285" w:hRule="exact"/>
        </w:trPr>
        <w:tc>
          <w:tcPr>
            <w:tcW w:w="4725" w:type="dxa"/>
            <w:gridSpan w:val="5"/>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Продавец:</w:t>
            </w:r>
          </w:p>
        </w:tc>
        <w:tc>
          <w:tcPr>
            <w:tcW w:w="5670" w:type="dxa"/>
            <w:gridSpan w:val="6"/>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Покупатель:</w:t>
            </w:r>
          </w:p>
        </w:tc>
      </w:tr>
      <w:tr>
        <w:trPr>
          <w:trHeight w:val="285" w:hRule="exact"/>
        </w:trPr>
        <w:tc>
          <w:tcPr>
            <w:tcW w:w="4725" w:type="dxa"/>
            <w:gridSpan w:val="5"/>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Гражданин РФ</w:t>
            </w:r>
          </w:p>
        </w:tc>
        <w:tc>
          <w:tcPr>
            <w:tcW w:w="5670" w:type="dxa"/>
            <w:gridSpan w:val="6"/>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Гражданин РФ</w:t>
            </w:r>
          </w:p>
        </w:tc>
      </w:tr>
      <w:tr>
        <w:trPr>
          <w:trHeight w:val="2175" w:hRule="exact"/>
        </w:trPr>
        <w:tc>
          <w:tcPr>
            <w:tcW w:w="4725" w:type="dxa"/>
            <w:gridSpan w:val="5"/>
            <w:shd w:val="clear" w:color="FFFFFF" w:fill="auto"/>
            <w:textDirection w:val="lrTb"/>
            <w:vAlign w:val="bottom"/>
          </w:tcPr>
          <w:p>
            <w:pPr>
              <w:wordWrap w:val="1"/>
              <w:jc w:val="both"/>
              <w:rPr>
                <w:rFonts w:ascii="Times New Roman" w:hAnsi="Times New Roman"/>
                <w:b/>
                <w:sz w:val="20"/>
                <w:szCs w:val="20"/>
              </w:rPr>
            </w:pPr>
            <w:r>
              <w:rPr>
                <w:rFonts w:ascii="Times New Roman" w:hAnsi="Times New Roman"/>
                <w:b/>
                <w:sz w:val="20"/>
                <w:szCs w:val="20"/>
              </w:rPr>
              <w:t>Мустафин Алик Азатович (21.01.1987г.р., место рожд: с. Нижнебалтачево Татышлинского района Респ. Башкортостан , адрес рег: 623285, Свердловская обл, Ревда г, Циолковского ул, дом № 8, СНИЛС14135737748, ИНН 024301986524, паспорт РФ серия 8009, номер 962091, выдан 24.12.2009, кем выдан Отделением УФМС России по Республике Башкортостан в Татышлинском районе , код подразделения 020-063)</w:t>
            </w:r>
          </w:p>
        </w:tc>
        <w:tc>
          <w:tcPr>
            <w:tcW w:w="5670" w:type="dxa"/>
            <w:gridSpan w:val="6"/>
            <w:vMerge w:val="restart"/>
            <w:shd w:val="clear" w:color="FFFFFF" w:fill="auto"/>
            <w:textDirection w:val="lrTb"/>
            <w:vAlign w:val="top"/>
          </w:tcPr>
          <w:p>
            <w:pPr>
              <w:wordWrap w:val="1"/>
              <w:jc w:val="both"/>
              <w:rPr>
                <w:rFonts w:ascii="Times New Roman" w:hAnsi="Times New Roman"/>
                <w:b/>
                <w:sz w:val="20"/>
                <w:szCs w:val="20"/>
              </w:rPr>
            </w:pPr>
          </w:p>
        </w:tc>
      </w:tr>
      <w:tr>
        <w:trPr>
          <w:trHeight w:val="300" w:hRule="exact"/>
        </w:trPr>
        <w:tc>
          <w:tcPr>
            <w:tcW w:w="4725" w:type="dxa"/>
            <w:gridSpan w:val="5"/>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Реквизиты</w:t>
            </w:r>
          </w:p>
        </w:tc>
        <w:tc>
          <w:tcPr>
            <w:tcW w:w="5670" w:type="dxa"/>
            <w:gridSpan w:val="6"/>
            <w:vMerge w:val="continue"/>
            <w:shd w:val="clear" w:color="FFFFFF" w:fill="auto"/>
            <w:textDirection w:val="lrTb"/>
            <w:vAlign w:val="top"/>
          </w:tcPr>
          <w:p>
            <w:pPr>
              <w:wordWrap w:val="1"/>
              <w:jc w:val="both"/>
              <w:rPr>
                <w:rFonts w:ascii="Times New Roman" w:hAnsi="Times New Roman"/>
                <w:b/>
                <w:sz w:val="20"/>
                <w:szCs w:val="20"/>
              </w:rPr>
            </w:pPr>
          </w:p>
        </w:tc>
      </w:tr>
      <w:tr>
        <w:trPr>
          <w:trHeight w:val="300" w:hRule="exact"/>
        </w:trPr>
        <w:tc>
          <w:tcPr>
            <w:tcW w:w="4725" w:type="dxa"/>
            <w:gridSpan w:val="5"/>
            <w:shd w:val="clear" w:color="FFFFFF" w:fill="auto"/>
            <w:textDirection w:val="lrTb"/>
            <w:vAlign w:val="bottom"/>
          </w:tcPr>
          <w:p>
            <w:pPr>
              <w:wordWrap w:val="1"/>
              <w:jc w:val="left"/>
              <w:rPr>
                <w:rFonts w:ascii="Times New Roman" w:hAnsi="Times New Roman"/>
                <w:sz w:val="20"/>
                <w:szCs w:val="20"/>
              </w:rPr>
            </w:pPr>
          </w:p>
        </w:tc>
        <w:tc>
          <w:tcPr>
            <w:tcW w:w="5670" w:type="dxa"/>
            <w:gridSpan w:val="6"/>
            <w:vMerge w:val="continue"/>
            <w:shd w:val="clear" w:color="FFFFFF" w:fill="auto"/>
            <w:textDirection w:val="lrTb"/>
            <w:vAlign w:val="top"/>
          </w:tcPr>
          <w:p>
            <w:pPr>
              <w:wordWrap w:val="1"/>
              <w:jc w:val="both"/>
              <w:rPr>
                <w:rFonts w:ascii="Times New Roman" w:hAnsi="Times New Roman"/>
                <w:b/>
                <w:sz w:val="20"/>
                <w:szCs w:val="20"/>
              </w:rPr>
            </w:pPr>
          </w:p>
        </w:tc>
      </w:tr>
      <w:tr>
        <w:trPr>
          <w:trHeight w:val="1935" w:hRule="exact"/>
        </w:trPr>
        <w:tc>
          <w:tcPr>
            <w:tcW w:w="4725" w:type="dxa"/>
            <w:gridSpan w:val="5"/>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Получатель: Мустафин Алик Азатович (ИНН 024301986524),</w:t>
              <w:br/>
              <w:t>
Р/СЧ 40817810650168489433</w:t>
              <w:br/>
              <w:t>
ИНН БАНКА 4401116480</w:t>
              <w:br/>
              <w:t>
БИК 045004763</w:t>
              <w:br/>
              <w:t>
КР/СЧ 30101810150040000763</w:t>
              <w:br/>
              <w:t>
НАИМЕНОВАНИЕ БАНКА ФИЛИАЛ "ЦЕНТРАЛЬНЫЙ" ПАО "СОВКОМБАНК" (БЕРДСК)   </w:t>
            </w:r>
          </w:p>
        </w:tc>
        <w:tc>
          <w:tcPr>
            <w:tcW w:w="5670" w:type="dxa"/>
            <w:gridSpan w:val="6"/>
            <w:vMerge w:val="continue"/>
            <w:shd w:val="clear" w:color="FFFFFF" w:fill="auto"/>
            <w:textDirection w:val="lrTb"/>
            <w:vAlign w:val="top"/>
          </w:tcPr>
          <w:p>
            <w:pPr>
              <w:wordWrap w:val="1"/>
              <w:jc w:val="both"/>
              <w:rPr>
                <w:rFonts w:ascii="Times New Roman" w:hAnsi="Times New Roman"/>
                <w:b/>
                <w:sz w:val="20"/>
                <w:szCs w:val="20"/>
              </w:rPr>
            </w:pPr>
          </w:p>
        </w:tc>
      </w:tr>
      <w:tr>
        <w:trPr>
          <w:trHeight w:val="300" w:hRule="exact"/>
        </w:trPr>
        <w:tc>
          <w:tcPr>
            <w:tcW w:w="945" w:type="dxa"/>
            <w:shd w:val="clear" w:color="FFFFFF" w:fill="auto"/>
            <w:textDirection w:val="lrTb"/>
            <w:vAlign w:val="bottom"/>
          </w:tcPr>
          <w:p>
            <w:pPr>
              <w:wordWrap w:val="1"/>
              <w:jc w:val="both"/>
              <w:rPr>
                <w:rFonts w:ascii="Times New Roman" w:hAnsi="Times New Roman"/>
                <w:sz w:val="20"/>
                <w:szCs w:val="20"/>
              </w:rPr>
            </w:pPr>
          </w:p>
        </w:tc>
        <w:tc>
          <w:tcPr>
            <w:tcW w:w="945" w:type="dxa"/>
            <w:shd w:val="clear" w:color="FFFFFF" w:fill="auto"/>
            <w:textDirection w:val="lrTb"/>
            <w:vAlign w:val="bottom"/>
          </w:tcPr>
          <w:p>
            <w:pPr>
              <w:wordWrap w:val="1"/>
              <w:jc w:val="both"/>
              <w:rPr>
                <w:rFonts w:ascii="Times New Roman" w:hAnsi="Times New Roman"/>
                <w:sz w:val="20"/>
                <w:szCs w:val="20"/>
              </w:rPr>
            </w:pPr>
          </w:p>
        </w:tc>
        <w:tc>
          <w:tcPr>
            <w:tcW w:w="945" w:type="dxa"/>
            <w:shd w:val="clear" w:color="FFFFFF" w:fill="auto"/>
            <w:textDirection w:val="lrTb"/>
            <w:vAlign w:val="bottom"/>
          </w:tcPr>
          <w:p>
            <w:pPr>
              <w:wordWrap w:val="1"/>
              <w:jc w:val="both"/>
              <w:rPr>
                <w:rFonts w:ascii="Times New Roman" w:hAnsi="Times New Roman"/>
                <w:sz w:val="20"/>
                <w:szCs w:val="20"/>
              </w:rPr>
            </w:pPr>
          </w:p>
        </w:tc>
        <w:tc>
          <w:tcPr>
            <w:tcW w:w="945" w:type="dxa"/>
            <w:shd w:val="clear" w:color="FFFFFF" w:fill="auto"/>
            <w:textDirection w:val="lrTb"/>
            <w:vAlign w:val="bottom"/>
          </w:tcPr>
          <w:p>
            <w:pPr>
              <w:wordWrap w:val="1"/>
              <w:jc w:val="both"/>
              <w:rPr>
                <w:rFonts w:ascii="Times New Roman" w:hAnsi="Times New Roman"/>
                <w:sz w:val="20"/>
                <w:szCs w:val="20"/>
              </w:rPr>
            </w:pPr>
          </w:p>
        </w:tc>
        <w:tc>
          <w:tcPr>
            <w:tcW w:w="945" w:type="dxa"/>
            <w:shd w:val="clear" w:color="FFFFFF" w:fill="auto"/>
            <w:textDirection w:val="lrTb"/>
            <w:vAlign w:val="bottom"/>
          </w:tcPr>
          <w:p>
            <w:pPr>
              <w:wordWrap w:val="1"/>
              <w:jc w:val="both"/>
              <w:rPr>
                <w:rFonts w:ascii="Times New Roman" w:hAnsi="Times New Roman"/>
                <w:sz w:val="20"/>
                <w:szCs w:val="20"/>
              </w:rPr>
            </w:pPr>
          </w:p>
        </w:tc>
        <w:tc>
          <w:tcPr>
            <w:tcW w:w="5670" w:type="dxa"/>
            <w:gridSpan w:val="6"/>
            <w:vMerge w:val="continue"/>
            <w:shd w:val="clear" w:color="FFFFFF" w:fill="auto"/>
            <w:textDirection w:val="lrTb"/>
            <w:vAlign w:val="top"/>
          </w:tcPr>
          <w:p>
            <w:pPr>
              <w:wordWrap w:val="1"/>
              <w:jc w:val="both"/>
              <w:rPr>
                <w:rFonts w:ascii="Times New Roman" w:hAnsi="Times New Roman"/>
                <w:b/>
                <w:sz w:val="20"/>
                <w:szCs w:val="20"/>
              </w:rPr>
            </w:pPr>
          </w:p>
        </w:tc>
      </w:tr>
      <w:tr>
        <w:trPr>
          <w:trHeight w:val="300" w:hRule="exact"/>
        </w:trPr>
        <w:tc>
          <w:tcPr>
            <w:tcW w:w="4725" w:type="dxa"/>
            <w:gridSpan w:val="5"/>
            <w:shd w:val="clear" w:color="FFFFFF" w:fill="auto"/>
            <w:textDirection w:val="lrTb"/>
            <w:vAlign w:val="bottom"/>
          </w:tcPr>
          <w:p>
            <w:pPr>
              <w:wordWrap w:val="1"/>
              <w:jc w:val="both"/>
              <w:rPr>
                <w:rFonts w:ascii="Times New Roman" w:hAnsi="Times New Roman"/>
                <w:b/>
                <w:sz w:val="20"/>
                <w:szCs w:val="20"/>
              </w:rPr>
            </w:pPr>
            <w:r>
              <w:rPr>
                <w:rFonts w:ascii="Times New Roman" w:hAnsi="Times New Roman"/>
                <w:b/>
                <w:sz w:val="20"/>
                <w:szCs w:val="20"/>
              </w:rPr>
              <w:t>Финансовый управляющий</w:t>
            </w:r>
          </w:p>
        </w:tc>
        <w:tc>
          <w:tcPr>
            <w:tcW w:w="5670" w:type="dxa"/>
            <w:gridSpan w:val="6"/>
            <w:vMerge w:val="continue"/>
            <w:shd w:val="clear" w:color="FFFFFF" w:fill="auto"/>
            <w:textDirection w:val="lrTb"/>
            <w:vAlign w:val="top"/>
          </w:tcPr>
          <w:p>
            <w:pPr>
              <w:wordWrap w:val="1"/>
              <w:jc w:val="both"/>
              <w:rPr>
                <w:rFonts w:ascii="Times New Roman" w:hAnsi="Times New Roman"/>
                <w:b/>
                <w:sz w:val="20"/>
                <w:szCs w:val="20"/>
              </w:rPr>
            </w:pPr>
          </w:p>
        </w:tc>
      </w:tr>
      <w:tr>
        <w:trPr>
          <w:trHeight w:val="300" w:hRule="exact"/>
        </w:trPr>
        <w:tc>
          <w:tcPr>
            <w:tcW w:w="4725" w:type="dxa"/>
            <w:gridSpan w:val="5"/>
            <w:shd w:val="clear" w:color="FFFFFF" w:fill="auto"/>
            <w:textDirection w:val="lrTb"/>
            <w:vAlign w:val="bottom"/>
          </w:tcPr>
          <w:p>
            <w:pPr>
              <w:wordWrap w:val="1"/>
              <w:jc w:val="both"/>
              <w:rPr>
                <w:rFonts w:ascii="Times New Roman" w:hAnsi="Times New Roman"/>
                <w:b/>
                <w:sz w:val="20"/>
                <w:szCs w:val="20"/>
              </w:rPr>
            </w:pPr>
            <w:r>
              <w:rPr>
                <w:rFonts w:ascii="Times New Roman" w:hAnsi="Times New Roman"/>
                <w:b/>
                <w:sz w:val="20"/>
                <w:szCs w:val="20"/>
              </w:rPr>
              <w:t>Мустафина Алика Азатовича</w:t>
            </w:r>
          </w:p>
        </w:tc>
        <w:tc>
          <w:tcPr>
            <w:tcW w:w="945" w:type="dxa"/>
            <w:shd w:val="clear" w:color="FFFFFF" w:fill="auto"/>
            <w:textDirection w:val="lrTb"/>
            <w:vAlign w:val="top"/>
          </w:tcPr>
          <w:p>
            <w:pPr>
              <w:wordWrap w:val="1"/>
              <w:jc w:val="both"/>
              <w:rPr>
                <w:rFonts w:ascii="Times New Roman" w:hAnsi="Times New Roman"/>
                <w:b/>
                <w:sz w:val="20"/>
                <w:szCs w:val="20"/>
              </w:rPr>
            </w:pPr>
          </w:p>
        </w:tc>
        <w:tc>
          <w:tcPr>
            <w:tcW w:w="945" w:type="dxa"/>
            <w:shd w:val="clear" w:color="FFFFFF" w:fill="auto"/>
            <w:textDirection w:val="lrTb"/>
            <w:vAlign w:val="top"/>
          </w:tcPr>
          <w:p>
            <w:pPr>
              <w:wordWrap w:val="1"/>
              <w:jc w:val="both"/>
              <w:rPr>
                <w:rFonts w:ascii="Times New Roman" w:hAnsi="Times New Roman"/>
                <w:b/>
                <w:sz w:val="20"/>
                <w:szCs w:val="20"/>
              </w:rPr>
            </w:pPr>
          </w:p>
        </w:tc>
        <w:tc>
          <w:tcPr>
            <w:tcW w:w="945" w:type="dxa"/>
            <w:shd w:val="clear" w:color="FFFFFF" w:fill="auto"/>
            <w:textDirection w:val="lrTb"/>
            <w:vAlign w:val="top"/>
          </w:tcPr>
          <w:p>
            <w:pPr>
              <w:wordWrap w:val="1"/>
              <w:jc w:val="both"/>
              <w:rPr>
                <w:rFonts w:ascii="Times New Roman" w:hAnsi="Times New Roman"/>
                <w:b/>
                <w:sz w:val="20"/>
                <w:szCs w:val="20"/>
              </w:rPr>
            </w:pPr>
          </w:p>
        </w:tc>
        <w:tc>
          <w:tcPr>
            <w:tcW w:w="945" w:type="dxa"/>
            <w:shd w:val="clear" w:color="FFFFFF" w:fill="auto"/>
            <w:textDirection w:val="lrTb"/>
            <w:vAlign w:val="top"/>
          </w:tcPr>
          <w:p>
            <w:pPr>
              <w:wordWrap w:val="1"/>
              <w:jc w:val="both"/>
              <w:rPr>
                <w:rFonts w:ascii="Times New Roman" w:hAnsi="Times New Roman"/>
                <w:b/>
                <w:sz w:val="20"/>
                <w:szCs w:val="20"/>
              </w:rPr>
            </w:pPr>
          </w:p>
        </w:tc>
        <w:tc>
          <w:tcPr>
            <w:tcW w:w="945" w:type="dxa"/>
            <w:shd w:val="clear" w:color="FFFFFF" w:fill="auto"/>
            <w:textDirection w:val="lrTb"/>
            <w:vAlign w:val="top"/>
          </w:tcPr>
          <w:p>
            <w:pPr>
              <w:wordWrap w:val="1"/>
              <w:jc w:val="both"/>
              <w:rPr>
                <w:rFonts w:ascii="Times New Roman" w:hAnsi="Times New Roman"/>
                <w:b/>
                <w:sz w:val="20"/>
                <w:szCs w:val="20"/>
              </w:rPr>
            </w:pPr>
          </w:p>
        </w:tc>
        <w:tc>
          <w:tcPr>
            <w:tcW w:w="945" w:type="dxa"/>
            <w:shd w:val="clear" w:color="FFFFFF" w:fill="auto"/>
            <w:textDirection w:val="lrTb"/>
            <w:vAlign w:val="top"/>
          </w:tcPr>
          <w:p>
            <w:pPr>
              <w:wordWrap w:val="1"/>
              <w:jc w:val="both"/>
              <w:rPr>
                <w:rFonts w:ascii="Times New Roman" w:hAnsi="Times New Roman"/>
                <w:b/>
                <w:sz w:val="20"/>
                <w:szCs w:val="20"/>
              </w:rPr>
            </w:pPr>
          </w:p>
        </w:tc>
      </w:tr>
      <w:tr>
        <w:trPr>
          <w:trHeight w:val="300" w:hRule="exact"/>
        </w:trPr>
        <w:tc>
          <w:tcPr>
            <w:tcW w:w="4725" w:type="dxa"/>
            <w:gridSpan w:val="5"/>
            <w:shd w:val="clear" w:color="FFFFFF" w:fill="auto"/>
            <w:textDirection w:val="lrTb"/>
            <w:vAlign w:val="bottom"/>
          </w:tcPr>
          <w:p>
            <w:pPr>
              <w:wordWrap w:val="1"/>
              <w:jc w:val="both"/>
              <w:rPr>
                <w:rFonts w:ascii="Times New Roman" w:hAnsi="Times New Roman"/>
                <w:b/>
                <w:sz w:val="20"/>
                <w:szCs w:val="20"/>
              </w:rPr>
            </w:pPr>
            <w:r>
              <w:rPr>
                <w:rFonts w:ascii="Times New Roman" w:hAnsi="Times New Roman"/>
                <w:b/>
                <w:sz w:val="20"/>
                <w:szCs w:val="20"/>
              </w:rPr>
              <w:t>Сергиенко Светлана Данисовна</w:t>
            </w:r>
          </w:p>
        </w:tc>
        <w:tc>
          <w:tcPr>
            <w:tcW w:w="2835" w:type="dxa"/>
            <w:gridSpan w:val="3"/>
            <w:shd w:val="clear" w:color="FFFFFF" w:fill="auto"/>
            <w:textDirection w:val="lrTb"/>
            <w:vAlign w:val="bottom"/>
          </w:tcPr>
          <w:p>
            <w:pPr>
              <w:wordWrap w:val="1"/>
              <w:jc w:val="both"/>
              <w:rPr>
                <w:rFonts w:ascii="Times New Roman" w:hAnsi="Times New Roman"/>
                <w:b/>
                <w:sz w:val="20"/>
                <w:szCs w:val="20"/>
              </w:rPr>
            </w:pPr>
          </w:p>
        </w:tc>
        <w:tc>
          <w:tcPr>
            <w:tcW w:w="2835" w:type="dxa"/>
            <w:gridSpan w:val="3"/>
            <w:shd w:val="clear" w:color="FFFFFF" w:fill="auto"/>
            <w:textDirection w:val="lrTb"/>
            <w:vAlign w:val="bottom"/>
          </w:tcPr>
          <w:p>
            <w:pPr>
              <w:wordWrap w:val="1"/>
              <w:jc w:val="both"/>
              <w:rPr>
                <w:rFonts w:ascii="Times New Roman" w:hAnsi="Times New Roman"/>
                <w:sz w:val="20"/>
                <w:szCs w:val="20"/>
              </w:rPr>
            </w:pPr>
          </w:p>
        </w:tc>
      </w:tr>
    </w:tbl>
    <w:sectPr>
      <w:pgSz w:w="11907" w:h="16839" w:orient="portrait"/>
      <w:pgMar w:top="567" w:right="567" w:bottom="567" w:left="567"/>
    </w:sectPr>
  </w:body>
</w:document>
</file>

<file path=word/settings.xml><?xml version="1.0" encoding="utf-8"?>
<w:settings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view w:val="normal"/>
  <w:zoom w:percent="100"/>
</w:settings>
</file>

<file path=word/styles.xml><?xml version="1.0" encoding="utf-8"?>
<w:styles xmlns:r="http://schemas.openxmlformats.org/officeDocument/2006/relationships" xmlns:w="http://schemas.openxmlformats.org/wordprocessingml/2006/main">
  <w:style w:type="table" w:styleId="TableStyle0">
    <w:name w:val="TableStyle0"/>
    <w:pPr>
      <w:spacing w:after="0" w:line="240" w:lineRule="auto"/>
    </w:pPr>
    <w:rPr>
      <w:rFonts w:ascii="Arial" w:hAnsi="Arial"/>
      <w:sz w:val="16"/>
    </w:rPr>
  </w:style>
</w:styles>
</file>

<file path=word/_rels/document.xml.rels>&#65279;<?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settings" Target="settings.xml"/>
	<Relationship Id="rId8" Type="http://schemas.openxmlformats.org/officeDocument/2006/relationships/header" Target="header1.xml"/>
	<Relationship Id="rId9" Type="http://schemas.openxmlformats.org/officeDocument/2006/relationships/footer" Target="footer1.xml"/>
	<Relationship Id="rId10" Type="http://schemas.openxmlformats.org/officeDocument/2006/relationships/header" Target="header2.xml"/>
	<Relationship Id="rId11" Type="http://schemas.openxmlformats.org/officeDocument/2006/relationships/footer" Target="footer2.xml"/>
</Relationships>
</file>