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Телегин Павел Игоревич (04.01.1992г.р., место рожд: п. Ерино Подольский р-он Московская обл., адрес рег: 398024, Липецкая обл, Липецк г, Октябрьский р-н, Механизаторов ул, дом № 1, квартира 16, СНИЛС15289592611, ИНН 482422906906, паспорт РФ серия 4219, номер 227804, выдан 23.01.2020, кем выдан УМВД РОССИИ ПО ЛИПЕЦКОЙ ОБЛАСТИ, код подразделения 480-003), в лице Гражданина РФ Финансового управляющего Шелестова Дмитрия Юрьевича (ИНН 745215858804, СНИЛС 16125415433, рег.номер 21408), действующего на основании решения Арбитражного суда Липецкой области от 12.09.2023г. по делу №А36-6429/2022,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ДоговорКуплиПродажиТекст2</w:t>
              <w:br/>
              <w:t>1.1.  В соответствии с Протоколом №  от 25.01.2024г. по продаже имущества Телегина Павла Игоревича,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грузовой, марка: 3009D3, модель: 3009D3, VIN: Z783009D380000308, год изготовления: 2008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25.01.2024г.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 xml:space="preserve">Получатель:Телегин Павел Игоревич (ИНН 482422906906),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Р/СЧ 40817810750170280106,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 (БЕРДСК)</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Телегин Павел Игоревич (04.01.1992г.р., место рожд: п. Ерино Подольский р-он Московская обл., адрес рег: 398024, Липецкая обл, Липецк г, Октябрьский р-н, Механизаторов ул, дом № 1, квартира 16, СНИЛС15289592611, ИНН 482422906906, паспорт РФ серия 4219, номер 227804, выдан 23.01.2020, кем выдан УМВД РОССИИ ПО ЛИПЕЦКОЙ ОБЛАСТИ, код подразделения 480-003)</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 xml:space="preserve">Получатель:Телегин Павел Игоревич (ИНН 482422906906),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Р/СЧ 40817810750170280106,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kern w:val="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Телегина Павла Игоревича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Шелестов Дмитрий Юрьевич</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LibreOffice/7.4.0.3$Windows_X86_64 LibreOffice_project/f85e47c08ddd19c015c0114a68350214f7066f5a</Application>
  <AppVersion>15.0000</AppVersion>
  <Pages>3</Pages>
  <Words>1144</Words>
  <Characters>8236</Characters>
  <CharactersWithSpaces>9332</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2023-12-11T11:24:30Z</dcterms:modified>
  <cp:revision>1</cp:revision>
  <dc:subject/>
  <dc:title/>
</cp:coreProperties>
</file>