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sz w:val="24"/>
        </w:rPr>
      </w:pPr>
      <w:r>
        <w:rPr>
          <w:sz w:val="24"/>
        </w:rPr>
        <w:t>Проект договора задатка № __</w:t>
      </w:r>
    </w:p>
    <w:p>
      <w:pPr>
        <w:pStyle w:val="8"/>
        <w:rPr>
          <w:sz w:val="20"/>
        </w:rPr>
      </w:pPr>
    </w:p>
    <w:p>
      <w:pPr>
        <w:spacing w:before="120"/>
        <w:jc w:val="both"/>
        <w:rPr>
          <w:sz w:val="20"/>
        </w:rPr>
      </w:pPr>
      <w:r>
        <w:rPr>
          <w:sz w:val="20"/>
        </w:rPr>
        <w:t>г. Екатеринбург</w:t>
      </w:r>
      <w:r>
        <w:rPr>
          <w:sz w:val="20"/>
        </w:rPr>
        <w:tab/>
      </w:r>
      <w:r>
        <w:rPr>
          <w:sz w:val="20"/>
        </w:rPr>
        <w:tab/>
      </w:r>
      <w:r>
        <w:rPr>
          <w:sz w:val="20"/>
        </w:rPr>
        <w:tab/>
      </w:r>
      <w:r>
        <w:rPr>
          <w:sz w:val="20"/>
        </w:rPr>
        <w:tab/>
      </w:r>
      <w:r>
        <w:rPr>
          <w:sz w:val="20"/>
        </w:rPr>
        <w:tab/>
      </w:r>
      <w:r>
        <w:rPr>
          <w:sz w:val="20"/>
        </w:rPr>
        <w:t xml:space="preserve">                                              </w:t>
      </w:r>
      <w:r>
        <w:rPr>
          <w:sz w:val="20"/>
        </w:rPr>
        <w:tab/>
      </w:r>
      <w:r>
        <w:rPr>
          <w:sz w:val="20"/>
        </w:rPr>
        <w:t>«___»  _________ 202</w:t>
      </w:r>
      <w:r>
        <w:rPr>
          <w:rFonts w:hint="default"/>
          <w:sz w:val="20"/>
          <w:lang w:val="ru-RU"/>
        </w:rPr>
        <w:t>3</w:t>
      </w:r>
      <w:r>
        <w:rPr>
          <w:sz w:val="20"/>
        </w:rPr>
        <w:t xml:space="preserve"> г.</w:t>
      </w:r>
    </w:p>
    <w:p>
      <w:pPr>
        <w:spacing w:before="120"/>
        <w:jc w:val="both"/>
        <w:rPr>
          <w:sz w:val="20"/>
        </w:rPr>
      </w:pPr>
    </w:p>
    <w:p>
      <w:pPr>
        <w:pStyle w:val="8"/>
        <w:spacing w:before="120"/>
        <w:rPr>
          <w:sz w:val="20"/>
        </w:rPr>
      </w:pPr>
      <w:bookmarkStart w:id="0" w:name="_GoBack"/>
      <w:bookmarkEnd w:id="0"/>
      <w:r>
        <w:rPr>
          <w:sz w:val="20"/>
        </w:rPr>
        <w:t xml:space="preserve">Финансовый управляющий </w:t>
      </w:r>
      <w:r>
        <w:rPr>
          <w:rFonts w:eastAsia="Times New Roman" w:cs="Times New Roman"/>
          <w:bCs/>
          <w:sz w:val="18"/>
          <w:szCs w:val="18"/>
          <w:lang w:eastAsia="ru-RU"/>
        </w:rPr>
        <w:t xml:space="preserve">Рожина Василия Андреевича (ИНН  663800466714,  СНИЛС 082-379-707 94, дата рождения: 26.12.1983 г., место рождения –  с. Ляпуново Байкаловского р-на Свердловской обл., адрес места жительства: Свердловская обл., г. Верхняя Пышма, кв. 51, 52 Верхнепышминского лесничества Уралмашевского лесхоза, СТ «Русь», уч. 131) Комарова Вера Сергеевна (ИНН 663300115789, СНИЛС 08521441550), член АСОАУ «Меркурий» (ОГРН 1037710023108, ИНН 7710458616, адрес: 127018, г. Москва, ул. Ямская 2-я, д. 2, оф. 201), действующая на основании Решения Арбитражного суда Свердловской области от 05.09.2022 по делу № А60-40501/2022 </w:t>
      </w:r>
      <w:r>
        <w:rPr>
          <w:sz w:val="20"/>
        </w:rPr>
        <w:t xml:space="preserve">с одной стороны, и  </w:t>
      </w:r>
    </w:p>
    <w:p>
      <w:pPr>
        <w:pStyle w:val="8"/>
        <w:spacing w:before="120"/>
        <w:ind w:firstLine="0"/>
        <w:rPr>
          <w:sz w:val="20"/>
        </w:rPr>
      </w:pPr>
      <w:r>
        <w:rPr>
          <w:sz w:val="20"/>
        </w:rPr>
        <w:t>_________________________________________________________________________________________________________________________________________________________________________________________ ,</w:t>
      </w:r>
    </w:p>
    <w:p>
      <w:pPr>
        <w:pStyle w:val="8"/>
        <w:spacing w:before="120"/>
        <w:ind w:firstLine="0"/>
        <w:rPr>
          <w:sz w:val="20"/>
        </w:rPr>
      </w:pPr>
      <w:r>
        <w:rPr>
          <w:sz w:val="20"/>
        </w:rPr>
        <w:t xml:space="preserve">действующий на основании __________________________________________________________, именуемый в дальнейшем «Заявитель», с другой стороны, </w:t>
      </w:r>
    </w:p>
    <w:p>
      <w:pPr>
        <w:pStyle w:val="8"/>
        <w:spacing w:before="120"/>
        <w:ind w:firstLine="0"/>
        <w:rPr>
          <w:sz w:val="20"/>
        </w:rPr>
      </w:pPr>
      <w:r>
        <w:rPr>
          <w:sz w:val="20"/>
        </w:rPr>
        <w:t>руководствуясь Гражданским Кодексом РФ, Федеральным Законом № 127-ФЗ от 26.10.2002«О несостоятельности (банкротстве)», заключили настоящий договор о нижеследующем:</w:t>
      </w:r>
    </w:p>
    <w:p>
      <w:pPr>
        <w:pStyle w:val="8"/>
        <w:spacing w:before="120"/>
        <w:ind w:firstLine="708"/>
        <w:rPr>
          <w:sz w:val="20"/>
        </w:rPr>
      </w:pPr>
    </w:p>
    <w:p>
      <w:pPr>
        <w:pStyle w:val="2"/>
        <w:spacing w:before="120"/>
        <w:rPr>
          <w:bCs w:val="0"/>
          <w:sz w:val="20"/>
        </w:rPr>
      </w:pPr>
      <w:r>
        <w:rPr>
          <w:bCs w:val="0"/>
          <w:sz w:val="20"/>
        </w:rPr>
        <w:t>1. Предмет договора</w:t>
      </w:r>
    </w:p>
    <w:p/>
    <w:p>
      <w:pPr>
        <w:keepNext w:val="0"/>
        <w:keepLines w:val="0"/>
        <w:widowControl/>
        <w:numPr>
          <w:ilvl w:val="1"/>
          <w:numId w:val="1"/>
        </w:numPr>
        <w:suppressLineNumbers w:val="0"/>
        <w:jc w:val="left"/>
        <w:rPr>
          <w:rFonts w:ascii="Times New Roman" w:hAnsi="Times New Roman" w:eastAsia="Times New Roman" w:cs="Times New Roman"/>
          <w:sz w:val="20"/>
          <w:szCs w:val="24"/>
          <w:lang w:val="ru-RU" w:eastAsia="ru-RU" w:bidi="ar-SA"/>
        </w:rPr>
      </w:pPr>
      <w:r>
        <w:rPr>
          <w:rFonts w:ascii="Times New Roman" w:hAnsi="Times New Roman" w:eastAsia="Times New Roman" w:cs="Times New Roman"/>
          <w:sz w:val="20"/>
          <w:szCs w:val="24"/>
          <w:lang w:val="ru-RU" w:eastAsia="ru-RU" w:bidi="ar-SA"/>
        </w:rPr>
        <w:t>Заявитель в качестве задатка за участие в торгах в формеаукциона на электронной торговой площадке «РАД» по продаже имущества Рожина</w:t>
      </w:r>
      <w:r>
        <w:rPr>
          <w:rFonts w:hint="default" w:ascii="Times New Roman" w:hAnsi="Times New Roman" w:eastAsia="Times New Roman" w:cs="Times New Roman"/>
          <w:sz w:val="20"/>
          <w:szCs w:val="24"/>
          <w:lang w:val="ru-RU" w:eastAsia="ru-RU" w:bidi="ar-SA"/>
        </w:rPr>
        <w:t xml:space="preserve"> В.А.</w:t>
      </w:r>
      <w:r>
        <w:rPr>
          <w:rFonts w:ascii="Times New Roman" w:hAnsi="Times New Roman" w:eastAsia="Times New Roman" w:cs="Times New Roman"/>
          <w:sz w:val="20"/>
          <w:szCs w:val="24"/>
          <w:lang w:val="ru-RU" w:eastAsia="ru-RU" w:bidi="ar-SA"/>
        </w:rPr>
        <w:t xml:space="preserve"> (Должник) – Лот №1: (наименование имущества: </w:t>
      </w:r>
    </w:p>
    <w:p>
      <w:pPr>
        <w:keepNext w:val="0"/>
        <w:keepLines w:val="0"/>
        <w:widowControl/>
        <w:numPr>
          <w:numId w:val="0"/>
        </w:numPr>
        <w:suppressLineNumbers w:val="0"/>
        <w:jc w:val="left"/>
        <w:rPr>
          <w:rFonts w:ascii="Times New Roman" w:hAnsi="Times New Roman" w:eastAsia="Times New Roman" w:cs="Times New Roman"/>
          <w:sz w:val="20"/>
          <w:szCs w:val="24"/>
          <w:lang w:val="ru-RU" w:eastAsia="ru-RU" w:bidi="ar-SA"/>
        </w:rPr>
      </w:pPr>
      <w:r>
        <w:rPr>
          <w:rFonts w:ascii="Times New Roman" w:hAnsi="Times New Roman" w:eastAsia="Times New Roman" w:cs="Times New Roman"/>
          <w:sz w:val="20"/>
          <w:szCs w:val="24"/>
          <w:lang w:val="en-US" w:eastAsia="zh-CN" w:bidi="ar-SA"/>
        </w:rPr>
        <w:t xml:space="preserve">- </w:t>
      </w:r>
      <w:r>
        <w:rPr>
          <w:rFonts w:hint="default" w:ascii="Times New Roman" w:hAnsi="Times New Roman" w:eastAsia="Times New Roman" w:cs="Times New Roman"/>
          <w:sz w:val="20"/>
          <w:szCs w:val="24"/>
          <w:lang w:val="en-US" w:eastAsia="zh-CN" w:bidi="ar-SA"/>
        </w:rPr>
        <w:t xml:space="preserve">Дом, </w:t>
      </w:r>
      <w:r>
        <w:rPr>
          <w:rFonts w:hint="default" w:ascii="Times New Roman" w:hAnsi="Times New Roman" w:eastAsia="Times New Roman" w:cs="Times New Roman"/>
          <w:sz w:val="20"/>
          <w:szCs w:val="24"/>
          <w:lang w:val="ru-RU" w:eastAsia="zh-CN" w:bidi="ar-SA"/>
        </w:rPr>
        <w:t>н</w:t>
      </w:r>
      <w:r>
        <w:rPr>
          <w:rFonts w:hint="default" w:ascii="Times New Roman" w:hAnsi="Times New Roman" w:eastAsia="Times New Roman" w:cs="Times New Roman"/>
          <w:sz w:val="20"/>
          <w:szCs w:val="24"/>
          <w:lang w:val="en-US" w:eastAsia="zh-CN" w:bidi="ar-SA"/>
        </w:rPr>
        <w:t>азначение: жилое, площадь 80 кв. м, количество этажей: 2, в том числе подземных 0, расположенный по адресу: Свердловская область, г. Верхняя Пышма, кв. 51, 52 Верхнепышминского лесничества Уралмашевского лесхоза, СТ "Русь", уч. №131, с кадастровым номером: 66:36:3002006:178</w:t>
      </w:r>
      <w:r>
        <w:rPr>
          <w:rFonts w:hint="default" w:ascii="Times New Roman" w:hAnsi="Times New Roman" w:eastAsia="Times New Roman" w:cs="Times New Roman"/>
          <w:sz w:val="20"/>
          <w:szCs w:val="24"/>
          <w:lang w:val="ru-RU" w:eastAsia="zh-CN" w:bidi="ar-SA"/>
        </w:rPr>
        <w:t>;</w:t>
      </w:r>
      <w:r>
        <w:rPr>
          <w:rFonts w:hint="default" w:ascii="Times New Roman" w:hAnsi="Times New Roman" w:eastAsia="Times New Roman" w:cs="Times New Roman"/>
          <w:sz w:val="20"/>
          <w:szCs w:val="24"/>
          <w:lang w:val="en-US" w:eastAsia="zh-CN" w:bidi="ar-SA"/>
        </w:rPr>
        <w:t xml:space="preserve"> </w:t>
      </w:r>
    </w:p>
    <w:p>
      <w:pPr>
        <w:keepNext w:val="0"/>
        <w:keepLines w:val="0"/>
        <w:widowControl/>
        <w:suppressLineNumbers w:val="0"/>
        <w:jc w:val="left"/>
        <w:rPr>
          <w:rFonts w:ascii="Times New Roman" w:hAnsi="Times New Roman" w:eastAsia="Times New Roman" w:cs="Times New Roman"/>
          <w:sz w:val="20"/>
          <w:szCs w:val="24"/>
          <w:lang w:val="ru-RU" w:eastAsia="ru-RU" w:bidi="ar-SA"/>
        </w:rPr>
      </w:pPr>
      <w:r>
        <w:rPr>
          <w:rFonts w:hint="default" w:ascii="Times New Roman" w:hAnsi="Times New Roman" w:eastAsia="Times New Roman" w:cs="Times New Roman"/>
          <w:sz w:val="20"/>
          <w:szCs w:val="24"/>
          <w:lang w:val="en-US" w:eastAsia="zh-CN" w:bidi="ar-SA"/>
        </w:rPr>
        <w:t>- Земельный участок, площадью 866 кв. м, категория земель: земли сельскохозяйственного назначения, разрешенное использование: для ведения садоводства, расположенный по адресу: обл. Свердловская, г. Верхняя Пышма, кв.51,52 Верхнепышминского лесничества Уралмашевского лесхоза, СТ "Русь", уч. №131, с кадастровым номером: 66:36:3002006:8</w:t>
      </w:r>
      <w:r>
        <w:rPr>
          <w:rFonts w:ascii="Times New Roman" w:hAnsi="Times New Roman" w:eastAsia="Times New Roman" w:cs="Times New Roman"/>
          <w:sz w:val="20"/>
          <w:szCs w:val="24"/>
          <w:lang w:val="ru-RU" w:eastAsia="ru-RU" w:bidi="ar-SA"/>
        </w:rPr>
        <w:t>) перечисляет денежные средства в размере _____________ руб., а финансовый управляющий принимает задаток на банковский счет должника в процедуре банкротства.</w:t>
      </w:r>
    </w:p>
    <w:p>
      <w:pPr>
        <w:pStyle w:val="7"/>
      </w:pPr>
      <w:r>
        <w:rPr>
          <w:rFonts w:ascii="Times New Roman" w:hAnsi="Times New Roman" w:eastAsia="Times New Roman" w:cs="Times New Roman"/>
          <w:sz w:val="20"/>
          <w:szCs w:val="24"/>
          <w:lang w:val="ru-RU" w:eastAsia="ru-RU" w:bidi="ar-SA"/>
        </w:rPr>
        <w:t xml:space="preserve">1.2 Указанный задаток вносится Заявителем в качестве обеспечения обязательств по участию в торгах и </w:t>
      </w:r>
      <w:r>
        <w:t xml:space="preserve">оплате имущества, в случае его приобретения, принятых на себя Заявителем в соответствии </w:t>
      </w:r>
      <w:r>
        <w:rPr>
          <w:lang w:val="en-US"/>
        </w:rPr>
        <w:t>c</w:t>
      </w:r>
      <w:r>
        <w:t xml:space="preserve"> подаваемой им заявкой на участие в торгах и настоящим Договором.</w:t>
      </w:r>
    </w:p>
    <w:p>
      <w:pPr>
        <w:spacing w:before="288" w:beforeLines="120"/>
        <w:ind w:firstLine="284"/>
        <w:jc w:val="center"/>
        <w:rPr>
          <w:b/>
          <w:bCs/>
          <w:sz w:val="20"/>
        </w:rPr>
      </w:pPr>
      <w:r>
        <w:rPr>
          <w:b/>
          <w:bCs/>
          <w:sz w:val="20"/>
        </w:rPr>
        <w:t>2. Передача денежных средств</w:t>
      </w:r>
    </w:p>
    <w:p>
      <w:pPr>
        <w:numPr>
          <w:ilvl w:val="1"/>
          <w:numId w:val="2"/>
        </w:numPr>
        <w:tabs>
          <w:tab w:val="left" w:pos="426"/>
          <w:tab w:val="clear" w:pos="792"/>
        </w:tabs>
        <w:spacing w:before="288" w:beforeLines="120"/>
        <w:ind w:left="426" w:hanging="426"/>
        <w:jc w:val="both"/>
        <w:rPr>
          <w:sz w:val="20"/>
        </w:rPr>
      </w:pPr>
      <w:r>
        <w:rPr>
          <w:sz w:val="20"/>
        </w:rPr>
        <w:t>Денежные средства, в сумме, указанной в п.1 настоящего Договора, должны быть внесены Заявителем на банковский счет должника в процедуре банкротства, указанный в п. 5.1. настоящего Договора, не позднее даты и времени окончания приема заявок на участие в торгах.</w:t>
      </w:r>
    </w:p>
    <w:p>
      <w:pPr>
        <w:numPr>
          <w:ilvl w:val="1"/>
          <w:numId w:val="2"/>
        </w:numPr>
        <w:tabs>
          <w:tab w:val="left" w:pos="360"/>
          <w:tab w:val="clear" w:pos="792"/>
        </w:tabs>
        <w:ind w:left="360" w:hanging="360"/>
        <w:jc w:val="both"/>
        <w:rPr>
          <w:sz w:val="20"/>
        </w:rPr>
      </w:pPr>
      <w:r>
        <w:rPr>
          <w:sz w:val="20"/>
        </w:rPr>
        <w:t>В случае не перечисления  в назначенный выше срок задатка, обязательства Заявителя по внесению задатка считаются неисполненными.</w:t>
      </w:r>
    </w:p>
    <w:p>
      <w:pPr>
        <w:numPr>
          <w:ilvl w:val="1"/>
          <w:numId w:val="2"/>
        </w:numPr>
        <w:tabs>
          <w:tab w:val="left" w:pos="360"/>
          <w:tab w:val="clear" w:pos="792"/>
        </w:tabs>
        <w:ind w:left="360" w:hanging="360"/>
        <w:jc w:val="both"/>
        <w:rPr>
          <w:sz w:val="20"/>
        </w:rPr>
      </w:pPr>
      <w:r>
        <w:rPr>
          <w:sz w:val="20"/>
        </w:rPr>
        <w:t>Финансовый управляющий обязуется возвратить сумму задатка внесенного Заявителем в установленных настоящим Договором случаях в соответствии с п.3 настоящего Договора.</w:t>
      </w:r>
    </w:p>
    <w:p>
      <w:pPr>
        <w:numPr>
          <w:ilvl w:val="1"/>
          <w:numId w:val="2"/>
        </w:numPr>
        <w:tabs>
          <w:tab w:val="left" w:pos="360"/>
          <w:tab w:val="clear" w:pos="792"/>
        </w:tabs>
        <w:ind w:left="360" w:hanging="360"/>
        <w:jc w:val="both"/>
        <w:rPr>
          <w:sz w:val="20"/>
        </w:rPr>
      </w:pPr>
      <w:r>
        <w:rPr>
          <w:sz w:val="20"/>
        </w:rPr>
        <w:t>Возврат задатка в соответствии с п.3 Настоящего Договора осуществляется на банковский счет Заявителя указанный в п.5.2. настоящего Договора.</w:t>
      </w:r>
    </w:p>
    <w:p>
      <w:pPr>
        <w:numPr>
          <w:ilvl w:val="1"/>
          <w:numId w:val="2"/>
        </w:numPr>
        <w:tabs>
          <w:tab w:val="left" w:pos="360"/>
          <w:tab w:val="clear" w:pos="792"/>
        </w:tabs>
        <w:ind w:left="360" w:hanging="360"/>
        <w:jc w:val="both"/>
        <w:rPr>
          <w:sz w:val="20"/>
        </w:rPr>
      </w:pPr>
      <w:r>
        <w:rPr>
          <w:sz w:val="20"/>
        </w:rPr>
        <w:t>Все расчеты сторон по настоящему договору осуществляются в безналичной форме, в установленном законом порядке.</w:t>
      </w:r>
    </w:p>
    <w:p>
      <w:pPr>
        <w:jc w:val="both"/>
        <w:rPr>
          <w:sz w:val="20"/>
        </w:rPr>
      </w:pPr>
    </w:p>
    <w:p>
      <w:pPr>
        <w:numPr>
          <w:ilvl w:val="0"/>
          <w:numId w:val="3"/>
        </w:numPr>
        <w:spacing w:before="120"/>
        <w:jc w:val="center"/>
        <w:rPr>
          <w:b/>
          <w:bCs/>
          <w:sz w:val="20"/>
        </w:rPr>
      </w:pPr>
      <w:r>
        <w:rPr>
          <w:b/>
          <w:bCs/>
          <w:sz w:val="20"/>
        </w:rPr>
        <w:t>Возврат денежных средств.</w:t>
      </w:r>
    </w:p>
    <w:p>
      <w:pPr>
        <w:pStyle w:val="8"/>
        <w:numPr>
          <w:ilvl w:val="1"/>
          <w:numId w:val="3"/>
        </w:numPr>
        <w:tabs>
          <w:tab w:val="left" w:pos="360"/>
          <w:tab w:val="clear" w:pos="792"/>
        </w:tabs>
        <w:spacing w:before="120"/>
        <w:ind w:left="360" w:hanging="360"/>
        <w:rPr>
          <w:sz w:val="20"/>
        </w:rPr>
      </w:pPr>
      <w:r>
        <w:rPr>
          <w:sz w:val="20"/>
        </w:rPr>
        <w:t>В случае если Заявителю было отказано в принятии заявки на участие в торгах, финансовый управляющий обязуется возвратить поступившую на его счет сумму задатка в течение 5 (пяти) рабочих дней с даты отправки Заявителю копии протокола об определении участников торгов.</w:t>
      </w:r>
    </w:p>
    <w:p>
      <w:pPr>
        <w:pStyle w:val="8"/>
        <w:numPr>
          <w:ilvl w:val="1"/>
          <w:numId w:val="3"/>
        </w:numPr>
        <w:tabs>
          <w:tab w:val="left" w:pos="360"/>
          <w:tab w:val="clear" w:pos="792"/>
        </w:tabs>
        <w:spacing w:before="120"/>
        <w:ind w:left="360" w:hanging="360"/>
        <w:rPr>
          <w:sz w:val="20"/>
        </w:rPr>
      </w:pPr>
      <w:r>
        <w:rPr>
          <w:sz w:val="20"/>
        </w:rPr>
        <w:t>В случае если Заявитель не признан победителем торгов, финансовый управляющий обязуется возвратить поступившую на его счет сумму задатка в течение 5 рабочих дней со дня подписания протокола о результатах проведения торгов.</w:t>
      </w:r>
    </w:p>
    <w:p>
      <w:pPr>
        <w:pStyle w:val="8"/>
        <w:numPr>
          <w:ilvl w:val="1"/>
          <w:numId w:val="3"/>
        </w:numPr>
        <w:tabs>
          <w:tab w:val="left" w:pos="360"/>
          <w:tab w:val="clear" w:pos="792"/>
        </w:tabs>
        <w:spacing w:before="120"/>
        <w:ind w:left="360" w:hanging="360"/>
        <w:rPr>
          <w:sz w:val="20"/>
        </w:rPr>
      </w:pPr>
      <w:r>
        <w:rPr>
          <w:sz w:val="20"/>
        </w:rPr>
        <w:t>В случае отзыва Заявителем заявки на участие до начала проведения торгов, финансовый управляющий обязуется возвратить поступившую на его счет сумму задатка в течение 14 (четырнадцати) банковских дней с даты получения письменного уведомления от Заявителя об отзыве заявки.</w:t>
      </w:r>
    </w:p>
    <w:p>
      <w:pPr>
        <w:pStyle w:val="8"/>
        <w:numPr>
          <w:ilvl w:val="1"/>
          <w:numId w:val="3"/>
        </w:numPr>
        <w:tabs>
          <w:tab w:val="left" w:pos="360"/>
          <w:tab w:val="clear" w:pos="792"/>
        </w:tabs>
        <w:spacing w:before="120" w:line="168" w:lineRule="auto"/>
        <w:ind w:left="360" w:hanging="360"/>
        <w:rPr>
          <w:sz w:val="20"/>
        </w:rPr>
      </w:pPr>
      <w:r>
        <w:rPr>
          <w:sz w:val="20"/>
        </w:rPr>
        <w:t xml:space="preserve"> Задаток не возвращается в следующих случаях:</w:t>
      </w:r>
    </w:p>
    <w:p>
      <w:pPr>
        <w:pStyle w:val="8"/>
        <w:ind w:firstLine="0"/>
        <w:rPr>
          <w:sz w:val="20"/>
        </w:rPr>
      </w:pPr>
      <w:r>
        <w:rPr>
          <w:sz w:val="20"/>
        </w:rPr>
        <w:t>3.4.1. В случае если Заявитель, признанный победителем торгов, отказался или уклоняется от подписания договора купли-продажи имущества в течение 5 дней с даты получения предложения финансового управляющего заключить договор купли-продажи.</w:t>
      </w:r>
    </w:p>
    <w:p>
      <w:pPr>
        <w:pStyle w:val="8"/>
        <w:spacing w:before="120"/>
        <w:ind w:firstLine="0"/>
        <w:rPr>
          <w:sz w:val="20"/>
        </w:rPr>
      </w:pPr>
      <w:r>
        <w:rPr>
          <w:sz w:val="20"/>
        </w:rPr>
        <w:t>3.4.2. В случае, если Заявитель не оплатил продаваемое на торгах имущество в установленные сроки.</w:t>
      </w:r>
    </w:p>
    <w:p>
      <w:pPr>
        <w:pStyle w:val="8"/>
        <w:numPr>
          <w:ilvl w:val="1"/>
          <w:numId w:val="3"/>
        </w:numPr>
        <w:tabs>
          <w:tab w:val="left" w:pos="360"/>
          <w:tab w:val="clear" w:pos="792"/>
        </w:tabs>
        <w:spacing w:before="120"/>
        <w:ind w:left="360" w:hanging="360"/>
        <w:rPr>
          <w:sz w:val="20"/>
        </w:rPr>
      </w:pPr>
      <w:r>
        <w:rPr>
          <w:sz w:val="20"/>
        </w:rPr>
        <w:t>В случае выигрыша на торгах, сумма задатка победителя засчитывается в счет оплаты  приобретенного лота.</w:t>
      </w:r>
    </w:p>
    <w:p>
      <w:pPr>
        <w:pStyle w:val="8"/>
        <w:numPr>
          <w:ilvl w:val="1"/>
          <w:numId w:val="3"/>
        </w:numPr>
        <w:tabs>
          <w:tab w:val="left" w:pos="360"/>
          <w:tab w:val="clear" w:pos="792"/>
        </w:tabs>
        <w:spacing w:before="120"/>
        <w:ind w:left="360" w:hanging="360"/>
        <w:rPr>
          <w:sz w:val="20"/>
        </w:rPr>
      </w:pPr>
      <w:r>
        <w:rPr>
          <w:sz w:val="20"/>
        </w:rPr>
        <w:t>В случае признания торгов несостоявшимися, по причинам независящим от Заявителя, финансовый управляющий обязуется возвратить поступившую на его счет сумму задатка в течение 5 (пяти) рабочих дней со дня подписания протокола о результатах проведения торгов.</w:t>
      </w:r>
    </w:p>
    <w:p>
      <w:pPr>
        <w:pStyle w:val="8"/>
        <w:spacing w:before="120"/>
        <w:ind w:firstLine="0"/>
        <w:rPr>
          <w:sz w:val="20"/>
        </w:rPr>
      </w:pPr>
    </w:p>
    <w:p>
      <w:pPr>
        <w:pStyle w:val="8"/>
        <w:numPr>
          <w:ilvl w:val="0"/>
          <w:numId w:val="4"/>
        </w:numPr>
        <w:spacing w:before="120"/>
        <w:jc w:val="center"/>
        <w:rPr>
          <w:b/>
          <w:bCs/>
          <w:sz w:val="20"/>
        </w:rPr>
      </w:pPr>
      <w:r>
        <w:rPr>
          <w:b/>
          <w:bCs/>
          <w:sz w:val="20"/>
        </w:rPr>
        <w:t>Срок действия Договора</w:t>
      </w:r>
    </w:p>
    <w:p>
      <w:pPr>
        <w:pStyle w:val="8"/>
        <w:numPr>
          <w:ilvl w:val="1"/>
          <w:numId w:val="4"/>
        </w:numPr>
        <w:tabs>
          <w:tab w:val="left" w:pos="0"/>
          <w:tab w:val="clear" w:pos="792"/>
        </w:tabs>
        <w:spacing w:before="120"/>
        <w:ind w:left="360" w:hanging="360"/>
        <w:rPr>
          <w:sz w:val="20"/>
        </w:rPr>
      </w:pPr>
      <w:r>
        <w:rPr>
          <w:sz w:val="20"/>
        </w:rPr>
        <w:t>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 предусмотренных Договором.</w:t>
      </w:r>
    </w:p>
    <w:p>
      <w:pPr>
        <w:pStyle w:val="8"/>
        <w:numPr>
          <w:ilvl w:val="1"/>
          <w:numId w:val="4"/>
        </w:numPr>
        <w:tabs>
          <w:tab w:val="left" w:pos="0"/>
          <w:tab w:val="clear" w:pos="792"/>
        </w:tabs>
        <w:spacing w:before="120"/>
        <w:ind w:left="360" w:hanging="360"/>
        <w:rPr>
          <w:sz w:val="20"/>
        </w:rPr>
      </w:pPr>
      <w:r>
        <w:rPr>
          <w:sz w:val="20"/>
        </w:rPr>
        <w:t>Настоящий Договор регулируется действующим законодательством РФ.</w:t>
      </w:r>
    </w:p>
    <w:p>
      <w:pPr>
        <w:pStyle w:val="8"/>
        <w:numPr>
          <w:ilvl w:val="1"/>
          <w:numId w:val="4"/>
        </w:numPr>
        <w:tabs>
          <w:tab w:val="left" w:pos="0"/>
          <w:tab w:val="clear" w:pos="792"/>
        </w:tabs>
        <w:spacing w:before="120"/>
        <w:ind w:left="360" w:hanging="360"/>
        <w:rPr>
          <w:sz w:val="20"/>
        </w:rPr>
      </w:pPr>
      <w:r>
        <w:rPr>
          <w:sz w:val="20"/>
        </w:rPr>
        <w:t>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в соответствие с действующим законодательством РФ.</w:t>
      </w:r>
    </w:p>
    <w:p>
      <w:pPr>
        <w:pStyle w:val="8"/>
        <w:numPr>
          <w:ilvl w:val="1"/>
          <w:numId w:val="4"/>
        </w:numPr>
        <w:tabs>
          <w:tab w:val="left" w:pos="0"/>
          <w:tab w:val="clear" w:pos="792"/>
        </w:tabs>
        <w:spacing w:before="120"/>
        <w:ind w:left="360" w:hanging="360"/>
        <w:rPr>
          <w:sz w:val="20"/>
        </w:rPr>
      </w:pPr>
      <w:r>
        <w:rPr>
          <w:sz w:val="20"/>
        </w:rPr>
        <w:t>Настоящий Договор составлен в двух экземплярах, по одному для каждой из Сторон.</w:t>
      </w:r>
    </w:p>
    <w:p>
      <w:pPr>
        <w:pStyle w:val="8"/>
        <w:spacing w:before="120"/>
        <w:ind w:firstLine="0"/>
        <w:rPr>
          <w:sz w:val="20"/>
        </w:rPr>
      </w:pPr>
    </w:p>
    <w:p>
      <w:pPr>
        <w:pStyle w:val="8"/>
        <w:spacing w:before="120"/>
        <w:jc w:val="center"/>
        <w:rPr>
          <w:b/>
          <w:bCs/>
          <w:sz w:val="20"/>
        </w:rPr>
      </w:pPr>
      <w:r>
        <w:rPr>
          <w:b/>
          <w:bCs/>
          <w:sz w:val="20"/>
        </w:rPr>
        <w:t xml:space="preserve"> 5. Реквизиты сторон.</w:t>
      </w:r>
    </w:p>
    <w:p>
      <w:pPr>
        <w:pStyle w:val="8"/>
        <w:spacing w:before="120"/>
        <w:jc w:val="center"/>
        <w:rPr>
          <w:b/>
          <w:bCs/>
          <w:sz w:val="20"/>
        </w:rPr>
      </w:pPr>
      <w:r>
        <mc:AlternateContent>
          <mc:Choice Requires="wps">
            <w:drawing>
              <wp:anchor distT="0" distB="0" distL="114300" distR="114300" simplePos="0" relativeHeight="251659264" behindDoc="0" locked="0" layoutInCell="1" allowOverlap="1">
                <wp:simplePos x="0" y="0"/>
                <wp:positionH relativeFrom="column">
                  <wp:posOffset>3276600</wp:posOffset>
                </wp:positionH>
                <wp:positionV relativeFrom="paragraph">
                  <wp:posOffset>168275</wp:posOffset>
                </wp:positionV>
                <wp:extent cx="2354580" cy="831215"/>
                <wp:effectExtent l="13335" t="12065" r="13335" b="13970"/>
                <wp:wrapNone/>
                <wp:docPr id="1"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2354580" cy="831215"/>
                        </a:xfrm>
                        <a:prstGeom prst="rect">
                          <a:avLst/>
                        </a:prstGeom>
                        <a:solidFill>
                          <a:srgbClr val="FFFFFF"/>
                        </a:solidFill>
                        <a:ln w="9525">
                          <a:solidFill>
                            <a:schemeClr val="bg1">
                              <a:lumMod val="100000"/>
                              <a:lumOff val="0"/>
                            </a:schemeClr>
                          </a:solidFill>
                          <a:miter lim="800000"/>
                        </a:ln>
                      </wps:spPr>
                      <wps:txbx>
                        <w:txbxContent>
                          <w:p>
                            <w:pPr>
                              <w:rPr>
                                <w:b/>
                                <w:bCs/>
                                <w:sz w:val="20"/>
                              </w:rPr>
                            </w:pPr>
                            <w:r>
                              <w:rPr>
                                <w:b/>
                                <w:sz w:val="20"/>
                              </w:rPr>
                              <w:t>5.2. Заявитель</w:t>
                            </w:r>
                            <w:r>
                              <w:rPr>
                                <w:b/>
                                <w:bCs/>
                                <w:sz w:val="20"/>
                              </w:rPr>
                              <w:t>: ___________________</w:t>
                            </w:r>
                          </w:p>
                          <w:p>
                            <w:pPr>
                              <w:rPr>
                                <w:sz w:val="20"/>
                              </w:rPr>
                            </w:pPr>
                            <w:r>
                              <w:rPr>
                                <w:sz w:val="20"/>
                              </w:rPr>
                              <w:t>Адрес: ____________________________</w:t>
                            </w:r>
                          </w:p>
                          <w:p>
                            <w:pPr>
                              <w:rPr>
                                <w:sz w:val="20"/>
                              </w:rPr>
                            </w:pPr>
                            <w:r>
                              <w:rPr>
                                <w:sz w:val="20"/>
                              </w:rPr>
                              <w:t>Банковские реквизиты:______________</w:t>
                            </w:r>
                          </w:p>
                          <w:p>
                            <w:pPr>
                              <w:rPr>
                                <w:sz w:val="20"/>
                              </w:rPr>
                            </w:pPr>
                            <w:r>
                              <w:rPr>
                                <w:sz w:val="20"/>
                              </w:rPr>
                              <w:t>Адрес электронной почты___________</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Надпись 2" o:spid="_x0000_s1026" o:spt="202" type="#_x0000_t202" style="position:absolute;left:0pt;margin-left:258pt;margin-top:13.25pt;height:65.45pt;width:185.4pt;z-index:251659264;mso-width-relative:margin;mso-height-relative:margin;mso-width-percent:400;mso-height-percent:200;" fillcolor="#FFFFFF" filled="t" stroked="t" coordsize="21600,21600" o:gfxdata="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RY/uJtgAAAAKAQAADwAAAAAAAAABACAAAAAiAAAAZHJzL2Rvd25yZXYueG1sUEsBAhQAFAAAAAgA&#10;h07iQMW40t9eAgAAwgQAAA4AAAAAAAAAAQAgAAAAJwEAAGRycy9lMm9Eb2MueG1sUEsFBgAAAAAG&#10;AAYAWQEAAPcFAAAAAA==&#10;">
                <v:fill on="t" focussize="0,0"/>
                <v:stroke color="#FFFFFF [3228]" miterlimit="8" joinstyle="miter"/>
                <v:imagedata o:title=""/>
                <o:lock v:ext="edit" aspectratio="f"/>
                <v:textbox style="mso-fit-shape-to-text:t;">
                  <w:txbxContent>
                    <w:p>
                      <w:pPr>
                        <w:rPr>
                          <w:b/>
                          <w:bCs/>
                          <w:sz w:val="20"/>
                        </w:rPr>
                      </w:pPr>
                      <w:r>
                        <w:rPr>
                          <w:b/>
                          <w:sz w:val="20"/>
                        </w:rPr>
                        <w:t>5.2. Заявитель</w:t>
                      </w:r>
                      <w:r>
                        <w:rPr>
                          <w:b/>
                          <w:bCs/>
                          <w:sz w:val="20"/>
                        </w:rPr>
                        <w:t>: ___________________</w:t>
                      </w:r>
                    </w:p>
                    <w:p>
                      <w:pPr>
                        <w:rPr>
                          <w:sz w:val="20"/>
                        </w:rPr>
                      </w:pPr>
                      <w:r>
                        <w:rPr>
                          <w:sz w:val="20"/>
                        </w:rPr>
                        <w:t>Адрес: ____________________________</w:t>
                      </w:r>
                    </w:p>
                    <w:p>
                      <w:pPr>
                        <w:rPr>
                          <w:sz w:val="20"/>
                        </w:rPr>
                      </w:pPr>
                      <w:r>
                        <w:rPr>
                          <w:sz w:val="20"/>
                        </w:rPr>
                        <w:t>Банковские реквизиты:______________</w:t>
                      </w:r>
                    </w:p>
                    <w:p>
                      <w:pPr>
                        <w:rPr>
                          <w:sz w:val="20"/>
                        </w:rPr>
                      </w:pPr>
                      <w:r>
                        <w:rPr>
                          <w:sz w:val="20"/>
                        </w:rPr>
                        <w:t>Адрес электронной почты___________</w:t>
                      </w:r>
                    </w:p>
                  </w:txbxContent>
                </v:textbox>
              </v:shape>
            </w:pict>
          </mc:Fallback>
        </mc:AlternateContent>
      </w:r>
    </w:p>
    <w:p>
      <w:pPr>
        <w:rPr>
          <w:b/>
          <w:bCs/>
          <w:sz w:val="20"/>
          <w:szCs w:val="20"/>
        </w:rPr>
      </w:pPr>
      <w:r>
        <w:rPr>
          <w:bCs/>
          <w:sz w:val="20"/>
          <w:szCs w:val="20"/>
        </w:rPr>
        <w:t>5.1.</w:t>
      </w:r>
      <w:r>
        <w:rPr>
          <w:b/>
          <w:bCs/>
          <w:sz w:val="20"/>
          <w:szCs w:val="20"/>
        </w:rPr>
        <w:t xml:space="preserve">Должник </w:t>
      </w:r>
    </w:p>
    <w:tbl>
      <w:tblPr>
        <w:tblStyle w:val="4"/>
        <w:tblW w:w="0" w:type="auto"/>
        <w:tblInd w:w="-432" w:type="dxa"/>
        <w:tblLayout w:type="autofit"/>
        <w:tblCellMar>
          <w:top w:w="0" w:type="dxa"/>
          <w:left w:w="108" w:type="dxa"/>
          <w:bottom w:w="0" w:type="dxa"/>
          <w:right w:w="108" w:type="dxa"/>
        </w:tblCellMar>
      </w:tblPr>
      <w:tblGrid>
        <w:gridCol w:w="398"/>
        <w:gridCol w:w="4805"/>
        <w:gridCol w:w="398"/>
      </w:tblGrid>
      <w:tr>
        <w:tblPrEx>
          <w:tblCellMar>
            <w:top w:w="0" w:type="dxa"/>
            <w:left w:w="108" w:type="dxa"/>
            <w:bottom w:w="0" w:type="dxa"/>
            <w:right w:w="108" w:type="dxa"/>
          </w:tblCellMar>
        </w:tblPrEx>
        <w:trPr>
          <w:gridBefore w:val="1"/>
          <w:wBefore w:w="398" w:type="dxa"/>
          <w:trHeight w:val="424" w:hRule="atLeast"/>
        </w:trPr>
        <w:tc>
          <w:tcPr>
            <w:tcW w:w="5203" w:type="dxa"/>
            <w:gridSpan w:val="2"/>
          </w:tcPr>
          <w:p>
            <w:pPr>
              <w:rPr>
                <w:rFonts w:hint="default"/>
                <w:sz w:val="20"/>
                <w:szCs w:val="20"/>
              </w:rPr>
            </w:pPr>
            <w:r>
              <w:rPr>
                <w:rFonts w:hint="default"/>
                <w:sz w:val="20"/>
                <w:szCs w:val="20"/>
              </w:rPr>
              <w:t>БАНК ПОЛУЧАТЕЛЯ - Уральский банк ПАО Сбербанк</w:t>
            </w:r>
          </w:p>
          <w:p>
            <w:pPr>
              <w:rPr>
                <w:rFonts w:hint="default"/>
                <w:sz w:val="20"/>
                <w:szCs w:val="20"/>
              </w:rPr>
            </w:pPr>
            <w:r>
              <w:rPr>
                <w:rFonts w:hint="default"/>
                <w:sz w:val="20"/>
                <w:szCs w:val="20"/>
              </w:rPr>
              <w:t>КОР. СЧЕТ - 301018105000000000674</w:t>
            </w:r>
          </w:p>
          <w:p>
            <w:pPr>
              <w:rPr>
                <w:rFonts w:hint="default"/>
                <w:sz w:val="20"/>
                <w:szCs w:val="20"/>
              </w:rPr>
            </w:pPr>
            <w:r>
              <w:rPr>
                <w:rFonts w:hint="default"/>
                <w:sz w:val="20"/>
                <w:szCs w:val="20"/>
              </w:rPr>
              <w:t>БИК - 046577674</w:t>
            </w:r>
          </w:p>
          <w:p>
            <w:pPr>
              <w:rPr>
                <w:rFonts w:hint="default"/>
                <w:sz w:val="20"/>
                <w:szCs w:val="20"/>
              </w:rPr>
            </w:pPr>
            <w:r>
              <w:rPr>
                <w:rFonts w:hint="default"/>
                <w:sz w:val="20"/>
                <w:szCs w:val="20"/>
              </w:rPr>
              <w:t>ПОЛУЧАТЕЛЬ – Рожин Василий Андреевич</w:t>
            </w:r>
          </w:p>
          <w:p>
            <w:pPr>
              <w:rPr>
                <w:sz w:val="20"/>
                <w:szCs w:val="20"/>
              </w:rPr>
            </w:pPr>
            <w:r>
              <w:rPr>
                <w:rFonts w:hint="default"/>
                <w:sz w:val="20"/>
                <w:szCs w:val="20"/>
              </w:rPr>
              <w:t>СЧЕТ ПОЛУЧАТЕЛЯ - 408 178 107 164 709 121 37</w:t>
            </w:r>
          </w:p>
        </w:tc>
      </w:tr>
      <w:tr>
        <w:tblPrEx>
          <w:tblCellMar>
            <w:top w:w="0" w:type="dxa"/>
            <w:left w:w="108" w:type="dxa"/>
            <w:bottom w:w="0" w:type="dxa"/>
            <w:right w:w="108" w:type="dxa"/>
          </w:tblCellMar>
        </w:tblPrEx>
        <w:trPr>
          <w:gridAfter w:val="1"/>
          <w:wAfter w:w="398" w:type="dxa"/>
        </w:trPr>
        <w:tc>
          <w:tcPr>
            <w:tcW w:w="5203" w:type="dxa"/>
            <w:gridSpan w:val="2"/>
          </w:tcPr>
          <w:p>
            <w:pPr>
              <w:jc w:val="both"/>
              <w:rPr>
                <w:sz w:val="20"/>
                <w:szCs w:val="20"/>
              </w:rPr>
            </w:pPr>
          </w:p>
        </w:tc>
      </w:tr>
      <w:tr>
        <w:tblPrEx>
          <w:tblCellMar>
            <w:top w:w="0" w:type="dxa"/>
            <w:left w:w="108" w:type="dxa"/>
            <w:bottom w:w="0" w:type="dxa"/>
            <w:right w:w="108" w:type="dxa"/>
          </w:tblCellMar>
        </w:tblPrEx>
        <w:trPr>
          <w:gridAfter w:val="1"/>
          <w:wAfter w:w="398" w:type="dxa"/>
        </w:trPr>
        <w:tc>
          <w:tcPr>
            <w:tcW w:w="5203" w:type="dxa"/>
            <w:gridSpan w:val="2"/>
          </w:tcPr>
          <w:p>
            <w:pPr>
              <w:jc w:val="both"/>
              <w:rPr>
                <w:sz w:val="20"/>
                <w:szCs w:val="20"/>
              </w:rPr>
            </w:pPr>
          </w:p>
        </w:tc>
      </w:tr>
    </w:tbl>
    <w:p>
      <w:pPr>
        <w:rPr>
          <w:sz w:val="20"/>
        </w:rPr>
      </w:pPr>
    </w:p>
    <w:p>
      <w:pPr>
        <w:jc w:val="center"/>
        <w:rPr>
          <w:b/>
          <w:sz w:val="20"/>
        </w:rPr>
      </w:pPr>
      <w:r>
        <w:rPr>
          <w:b/>
          <w:sz w:val="20"/>
        </w:rPr>
        <w:t>6. Подписи сторон</w:t>
      </w:r>
    </w:p>
    <w:p>
      <w:pPr>
        <w:jc w:val="center"/>
        <w:rPr>
          <w:b/>
          <w:sz w:val="20"/>
        </w:rPr>
      </w:pPr>
    </w:p>
    <w:tbl>
      <w:tblPr>
        <w:tblStyle w:val="4"/>
        <w:tblW w:w="0" w:type="auto"/>
        <w:tblInd w:w="0" w:type="dxa"/>
        <w:tblLayout w:type="fixed"/>
        <w:tblCellMar>
          <w:top w:w="0" w:type="dxa"/>
          <w:left w:w="108" w:type="dxa"/>
          <w:bottom w:w="0" w:type="dxa"/>
          <w:right w:w="108" w:type="dxa"/>
        </w:tblCellMar>
      </w:tblPr>
      <w:tblGrid>
        <w:gridCol w:w="4361"/>
        <w:gridCol w:w="1134"/>
        <w:gridCol w:w="4357"/>
      </w:tblGrid>
      <w:tr>
        <w:tblPrEx>
          <w:tblCellMar>
            <w:top w:w="0" w:type="dxa"/>
            <w:left w:w="108" w:type="dxa"/>
            <w:bottom w:w="0" w:type="dxa"/>
            <w:right w:w="108" w:type="dxa"/>
          </w:tblCellMar>
        </w:tblPrEx>
        <w:tc>
          <w:tcPr>
            <w:tcW w:w="4361" w:type="dxa"/>
          </w:tcPr>
          <w:p>
            <w:pPr>
              <w:jc w:val="both"/>
              <w:rPr>
                <w:b/>
                <w:sz w:val="20"/>
              </w:rPr>
            </w:pPr>
            <w:r>
              <w:rPr>
                <w:b/>
                <w:sz w:val="20"/>
              </w:rPr>
              <w:t>Финансовый управляющий</w:t>
            </w:r>
          </w:p>
        </w:tc>
        <w:tc>
          <w:tcPr>
            <w:tcW w:w="1134" w:type="dxa"/>
          </w:tcPr>
          <w:p>
            <w:pPr>
              <w:rPr>
                <w:b/>
                <w:sz w:val="20"/>
              </w:rPr>
            </w:pPr>
          </w:p>
        </w:tc>
        <w:tc>
          <w:tcPr>
            <w:tcW w:w="4357" w:type="dxa"/>
          </w:tcPr>
          <w:p>
            <w:pPr>
              <w:rPr>
                <w:b/>
                <w:sz w:val="20"/>
              </w:rPr>
            </w:pPr>
            <w:r>
              <w:rPr>
                <w:b/>
                <w:sz w:val="20"/>
              </w:rPr>
              <w:t>Заявитель: ______________________</w:t>
            </w:r>
          </w:p>
        </w:tc>
      </w:tr>
      <w:tr>
        <w:tblPrEx>
          <w:tblCellMar>
            <w:top w:w="0" w:type="dxa"/>
            <w:left w:w="108" w:type="dxa"/>
            <w:bottom w:w="0" w:type="dxa"/>
            <w:right w:w="108" w:type="dxa"/>
          </w:tblCellMar>
        </w:tblPrEx>
        <w:tc>
          <w:tcPr>
            <w:tcW w:w="4361" w:type="dxa"/>
          </w:tcPr>
          <w:p>
            <w:pPr>
              <w:rPr>
                <w:b/>
                <w:sz w:val="20"/>
              </w:rPr>
            </w:pPr>
          </w:p>
        </w:tc>
        <w:tc>
          <w:tcPr>
            <w:tcW w:w="1134" w:type="dxa"/>
          </w:tcPr>
          <w:p>
            <w:pPr>
              <w:rPr>
                <w:sz w:val="20"/>
              </w:rPr>
            </w:pPr>
          </w:p>
        </w:tc>
        <w:tc>
          <w:tcPr>
            <w:tcW w:w="4357" w:type="dxa"/>
          </w:tcPr>
          <w:p>
            <w:pPr>
              <w:rPr>
                <w:sz w:val="20"/>
              </w:rPr>
            </w:pPr>
          </w:p>
        </w:tc>
      </w:tr>
      <w:tr>
        <w:tblPrEx>
          <w:tblCellMar>
            <w:top w:w="0" w:type="dxa"/>
            <w:left w:w="108" w:type="dxa"/>
            <w:bottom w:w="0" w:type="dxa"/>
            <w:right w:w="108" w:type="dxa"/>
          </w:tblCellMar>
        </w:tblPrEx>
        <w:tc>
          <w:tcPr>
            <w:tcW w:w="4361" w:type="dxa"/>
          </w:tcPr>
          <w:p>
            <w:pPr>
              <w:rPr>
                <w:sz w:val="20"/>
              </w:rPr>
            </w:pPr>
          </w:p>
          <w:p>
            <w:pPr>
              <w:rPr>
                <w:sz w:val="20"/>
              </w:rPr>
            </w:pPr>
            <w:r>
              <w:rPr>
                <w:sz w:val="20"/>
              </w:rPr>
              <w:t>__________________ /В.С. Комарова/</w:t>
            </w:r>
          </w:p>
          <w:p>
            <w:pPr>
              <w:rPr>
                <w:sz w:val="20"/>
              </w:rPr>
            </w:pPr>
          </w:p>
        </w:tc>
        <w:tc>
          <w:tcPr>
            <w:tcW w:w="1134" w:type="dxa"/>
          </w:tcPr>
          <w:p>
            <w:pPr>
              <w:rPr>
                <w:sz w:val="20"/>
              </w:rPr>
            </w:pPr>
          </w:p>
        </w:tc>
        <w:tc>
          <w:tcPr>
            <w:tcW w:w="4357" w:type="dxa"/>
          </w:tcPr>
          <w:p>
            <w:pPr>
              <w:rPr>
                <w:sz w:val="20"/>
              </w:rPr>
            </w:pPr>
          </w:p>
          <w:p>
            <w:pPr>
              <w:rPr>
                <w:sz w:val="20"/>
              </w:rPr>
            </w:pPr>
            <w:r>
              <w:rPr>
                <w:sz w:val="20"/>
              </w:rPr>
              <w:t>__________________ /________________/</w:t>
            </w:r>
          </w:p>
        </w:tc>
      </w:tr>
      <w:tr>
        <w:tblPrEx>
          <w:tblCellMar>
            <w:top w:w="0" w:type="dxa"/>
            <w:left w:w="108" w:type="dxa"/>
            <w:bottom w:w="0" w:type="dxa"/>
            <w:right w:w="108" w:type="dxa"/>
          </w:tblCellMar>
        </w:tblPrEx>
        <w:tc>
          <w:tcPr>
            <w:tcW w:w="4361" w:type="dxa"/>
          </w:tcPr>
          <w:p>
            <w:pPr>
              <w:rPr>
                <w:sz w:val="20"/>
              </w:rPr>
            </w:pPr>
            <w:r>
              <w:rPr>
                <w:sz w:val="20"/>
              </w:rPr>
              <w:t>«___»__________________ 202</w:t>
            </w:r>
            <w:r>
              <w:rPr>
                <w:rFonts w:hint="default"/>
                <w:sz w:val="20"/>
                <w:lang w:val="ru-RU"/>
              </w:rPr>
              <w:t>3</w:t>
            </w:r>
            <w:r>
              <w:rPr>
                <w:sz w:val="20"/>
              </w:rPr>
              <w:t>г.</w:t>
            </w:r>
          </w:p>
          <w:p>
            <w:pPr>
              <w:rPr>
                <w:sz w:val="20"/>
              </w:rPr>
            </w:pPr>
          </w:p>
          <w:p>
            <w:pPr>
              <w:rPr>
                <w:sz w:val="20"/>
              </w:rPr>
            </w:pPr>
            <w:r>
              <w:rPr>
                <w:sz w:val="20"/>
              </w:rPr>
              <w:t>М.П.</w:t>
            </w:r>
          </w:p>
        </w:tc>
        <w:tc>
          <w:tcPr>
            <w:tcW w:w="1134" w:type="dxa"/>
          </w:tcPr>
          <w:p>
            <w:pPr>
              <w:rPr>
                <w:sz w:val="20"/>
              </w:rPr>
            </w:pPr>
          </w:p>
        </w:tc>
        <w:tc>
          <w:tcPr>
            <w:tcW w:w="4357" w:type="dxa"/>
          </w:tcPr>
          <w:p>
            <w:pPr>
              <w:rPr>
                <w:sz w:val="20"/>
              </w:rPr>
            </w:pPr>
            <w:r>
              <w:rPr>
                <w:sz w:val="20"/>
              </w:rPr>
              <w:t>«___»__________________ 202</w:t>
            </w:r>
            <w:r>
              <w:rPr>
                <w:rFonts w:hint="default"/>
                <w:sz w:val="20"/>
                <w:lang w:val="ru-RU"/>
              </w:rPr>
              <w:t>3</w:t>
            </w:r>
            <w:r>
              <w:rPr>
                <w:sz w:val="20"/>
              </w:rPr>
              <w:t xml:space="preserve"> г.</w:t>
            </w:r>
          </w:p>
          <w:p>
            <w:pPr>
              <w:rPr>
                <w:sz w:val="20"/>
              </w:rPr>
            </w:pPr>
          </w:p>
          <w:p>
            <w:pPr>
              <w:rPr>
                <w:sz w:val="20"/>
              </w:rPr>
            </w:pPr>
            <w:r>
              <w:rPr>
                <w:sz w:val="20"/>
              </w:rPr>
              <w:t>М.П.</w:t>
            </w:r>
          </w:p>
        </w:tc>
      </w:tr>
    </w:tbl>
    <w:p/>
    <w:sectPr>
      <w:footerReference r:id="rId3" w:type="default"/>
      <w:footerReference r:id="rId4" w:type="even"/>
      <w:pgSz w:w="11906" w:h="16838"/>
      <w:pgMar w:top="719"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CC"/>
    <w:family w:val="swiss"/>
    <w:pitch w:val="default"/>
    <w:sig w:usb0="A00006FF" w:usb1="4000205B" w:usb2="0000001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alibri">
    <w:panose1 w:val="020F0502020204030204"/>
    <w:charset w:val="86"/>
    <w:family w:val="swiss"/>
    <w:pitch w:val="default"/>
    <w:sig w:usb0="E4002EFF" w:usb1="C000247B" w:usb2="00000009" w:usb3="00000000" w:csb0="200001F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5"/>
      </w:rPr>
    </w:pPr>
    <w:r>
      <w:rPr>
        <w:rStyle w:val="5"/>
      </w:rPr>
      <w:fldChar w:fldCharType="begin"/>
    </w:r>
    <w:r>
      <w:rPr>
        <w:rStyle w:val="5"/>
      </w:rPr>
      <w:instrText xml:space="preserve">PAGE  </w:instrText>
    </w:r>
    <w:r>
      <w:rPr>
        <w:rStyle w:val="5"/>
      </w:rPr>
      <w:fldChar w:fldCharType="end"/>
    </w:r>
  </w:p>
  <w:p>
    <w:pPr>
      <w:pStyle w:val="1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135B9"/>
    <w:multiLevelType w:val="multilevel"/>
    <w:tmpl w:val="127135B9"/>
    <w:lvl w:ilvl="0" w:tentative="0">
      <w:start w:val="4"/>
      <w:numFmt w:val="decimal"/>
      <w:lvlText w:val="%1."/>
      <w:lvlJc w:val="left"/>
      <w:pPr>
        <w:tabs>
          <w:tab w:val="left" w:pos="360"/>
        </w:tabs>
        <w:ind w:left="360" w:hanging="360"/>
      </w:pPr>
      <w:rPr>
        <w:rFonts w:hint="default"/>
      </w:rPr>
    </w:lvl>
    <w:lvl w:ilvl="1" w:tentative="0">
      <w:start w:val="1"/>
      <w:numFmt w:val="decimal"/>
      <w:lvlText w:val="4.%2."/>
      <w:lvlJc w:val="left"/>
      <w:pPr>
        <w:tabs>
          <w:tab w:val="left" w:pos="792"/>
        </w:tabs>
        <w:ind w:left="792" w:hanging="432"/>
      </w:pPr>
      <w:rPr>
        <w:rFonts w:hint="default"/>
      </w:rPr>
    </w:lvl>
    <w:lvl w:ilvl="2" w:tentative="0">
      <w:start w:val="1"/>
      <w:numFmt w:val="decimal"/>
      <w:lvlText w:val="%1.%2.%3."/>
      <w:lvlJc w:val="left"/>
      <w:pPr>
        <w:tabs>
          <w:tab w:val="left" w:pos="1224"/>
        </w:tabs>
        <w:ind w:left="1224" w:hanging="504"/>
      </w:pPr>
      <w:rPr>
        <w:rFonts w:hint="default"/>
      </w:rPr>
    </w:lvl>
    <w:lvl w:ilvl="3" w:tentative="0">
      <w:start w:val="1"/>
      <w:numFmt w:val="decimal"/>
      <w:lvlText w:val="%1.%2.%3.%4."/>
      <w:lvlJc w:val="left"/>
      <w:pPr>
        <w:tabs>
          <w:tab w:val="left" w:pos="1800"/>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288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3960"/>
        </w:tabs>
        <w:ind w:left="3744" w:hanging="1224"/>
      </w:pPr>
      <w:rPr>
        <w:rFonts w:hint="default"/>
      </w:rPr>
    </w:lvl>
    <w:lvl w:ilvl="8" w:tentative="0">
      <w:start w:val="1"/>
      <w:numFmt w:val="decimal"/>
      <w:lvlText w:val="%1.%2.%3.%4.%5.%6.%7.%8.%9."/>
      <w:lvlJc w:val="left"/>
      <w:pPr>
        <w:tabs>
          <w:tab w:val="left" w:pos="4680"/>
        </w:tabs>
        <w:ind w:left="4320" w:hanging="1440"/>
      </w:pPr>
      <w:rPr>
        <w:rFonts w:hint="default"/>
      </w:rPr>
    </w:lvl>
  </w:abstractNum>
  <w:abstractNum w:abstractNumId="1">
    <w:nsid w:val="70732ECA"/>
    <w:multiLevelType w:val="multilevel"/>
    <w:tmpl w:val="70732ECA"/>
    <w:lvl w:ilvl="0" w:tentative="0">
      <w:start w:val="1"/>
      <w:numFmt w:val="none"/>
      <w:lvlText w:val="2."/>
      <w:lvlJc w:val="left"/>
      <w:pPr>
        <w:tabs>
          <w:tab w:val="left" w:pos="360"/>
        </w:tabs>
        <w:ind w:left="360" w:hanging="360"/>
      </w:pPr>
      <w:rPr>
        <w:rFonts w:hint="default"/>
      </w:rPr>
    </w:lvl>
    <w:lvl w:ilvl="1" w:tentative="0">
      <w:start w:val="1"/>
      <w:numFmt w:val="decimal"/>
      <w:lvlText w:val="2.%2."/>
      <w:lvlJc w:val="left"/>
      <w:pPr>
        <w:tabs>
          <w:tab w:val="left" w:pos="792"/>
        </w:tabs>
        <w:ind w:left="792" w:hanging="432"/>
      </w:pPr>
      <w:rPr>
        <w:rFonts w:hint="default"/>
      </w:rPr>
    </w:lvl>
    <w:lvl w:ilvl="2" w:tentative="0">
      <w:start w:val="1"/>
      <w:numFmt w:val="decimal"/>
      <w:lvlText w:val="%1.%2.%3."/>
      <w:lvlJc w:val="left"/>
      <w:pPr>
        <w:tabs>
          <w:tab w:val="left" w:pos="1224"/>
        </w:tabs>
        <w:ind w:left="1224" w:hanging="504"/>
      </w:pPr>
      <w:rPr>
        <w:rFonts w:hint="default"/>
      </w:rPr>
    </w:lvl>
    <w:lvl w:ilvl="3" w:tentative="0">
      <w:start w:val="1"/>
      <w:numFmt w:val="decimal"/>
      <w:lvlText w:val="%1.%2.%3.%4."/>
      <w:lvlJc w:val="left"/>
      <w:pPr>
        <w:tabs>
          <w:tab w:val="left" w:pos="1800"/>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288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3960"/>
        </w:tabs>
        <w:ind w:left="3744" w:hanging="1224"/>
      </w:pPr>
      <w:rPr>
        <w:rFonts w:hint="default"/>
      </w:rPr>
    </w:lvl>
    <w:lvl w:ilvl="8" w:tentative="0">
      <w:start w:val="1"/>
      <w:numFmt w:val="decimal"/>
      <w:lvlText w:val="%1.%2.%3.%4.%5.%6.%7.%8.%9."/>
      <w:lvlJc w:val="left"/>
      <w:pPr>
        <w:tabs>
          <w:tab w:val="left" w:pos="4680"/>
        </w:tabs>
        <w:ind w:left="4320" w:hanging="1440"/>
      </w:pPr>
      <w:rPr>
        <w:rFonts w:hint="default"/>
      </w:rPr>
    </w:lvl>
  </w:abstractNum>
  <w:abstractNum w:abstractNumId="2">
    <w:nsid w:val="7D3D5915"/>
    <w:multiLevelType w:val="multilevel"/>
    <w:tmpl w:val="7D3D5915"/>
    <w:lvl w:ilvl="0" w:tentative="0">
      <w:start w:val="3"/>
      <w:numFmt w:val="decimal"/>
      <w:lvlText w:val="%1."/>
      <w:lvlJc w:val="left"/>
      <w:pPr>
        <w:tabs>
          <w:tab w:val="left" w:pos="360"/>
        </w:tabs>
        <w:ind w:left="360" w:hanging="360"/>
      </w:pPr>
      <w:rPr>
        <w:rFonts w:hint="default"/>
      </w:rPr>
    </w:lvl>
    <w:lvl w:ilvl="1" w:tentative="0">
      <w:start w:val="1"/>
      <w:numFmt w:val="decimal"/>
      <w:lvlText w:val="3.%2."/>
      <w:lvlJc w:val="left"/>
      <w:pPr>
        <w:tabs>
          <w:tab w:val="left" w:pos="792"/>
        </w:tabs>
        <w:ind w:left="792" w:hanging="432"/>
      </w:pPr>
      <w:rPr>
        <w:rFonts w:hint="default"/>
      </w:rPr>
    </w:lvl>
    <w:lvl w:ilvl="2" w:tentative="0">
      <w:start w:val="1"/>
      <w:numFmt w:val="decimal"/>
      <w:lvlText w:val="%1.%2.%3."/>
      <w:lvlJc w:val="left"/>
      <w:pPr>
        <w:tabs>
          <w:tab w:val="left" w:pos="1224"/>
        </w:tabs>
        <w:ind w:left="1224" w:hanging="504"/>
      </w:pPr>
      <w:rPr>
        <w:rFonts w:hint="default"/>
      </w:rPr>
    </w:lvl>
    <w:lvl w:ilvl="3" w:tentative="0">
      <w:start w:val="1"/>
      <w:numFmt w:val="decimal"/>
      <w:lvlText w:val="%1.%2.%3.%4."/>
      <w:lvlJc w:val="left"/>
      <w:pPr>
        <w:tabs>
          <w:tab w:val="left" w:pos="1800"/>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288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3960"/>
        </w:tabs>
        <w:ind w:left="3744" w:hanging="1224"/>
      </w:pPr>
      <w:rPr>
        <w:rFonts w:hint="default"/>
      </w:rPr>
    </w:lvl>
    <w:lvl w:ilvl="8" w:tentative="0">
      <w:start w:val="1"/>
      <w:numFmt w:val="decimal"/>
      <w:lvlText w:val="%1.%2.%3.%4.%5.%6.%7.%8.%9."/>
      <w:lvlJc w:val="left"/>
      <w:pPr>
        <w:tabs>
          <w:tab w:val="left" w:pos="4680"/>
        </w:tabs>
        <w:ind w:left="4320" w:hanging="1440"/>
      </w:pPr>
      <w:rPr>
        <w:rFonts w:hint="default"/>
      </w:rPr>
    </w:lvl>
  </w:abstractNum>
  <w:abstractNum w:abstractNumId="3">
    <w:nsid w:val="7D47B98D"/>
    <w:multiLevelType w:val="multilevel"/>
    <w:tmpl w:val="7D47B98D"/>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6F0"/>
    <w:rsid w:val="00024A41"/>
    <w:rsid w:val="00031905"/>
    <w:rsid w:val="0004437B"/>
    <w:rsid w:val="00053386"/>
    <w:rsid w:val="0006316E"/>
    <w:rsid w:val="00065181"/>
    <w:rsid w:val="00074F7B"/>
    <w:rsid w:val="00087C6A"/>
    <w:rsid w:val="00096183"/>
    <w:rsid w:val="000A5BE6"/>
    <w:rsid w:val="000A71D5"/>
    <w:rsid w:val="000D00DA"/>
    <w:rsid w:val="000D0A7D"/>
    <w:rsid w:val="000D3E15"/>
    <w:rsid w:val="000D52C0"/>
    <w:rsid w:val="000E324A"/>
    <w:rsid w:val="000F08FF"/>
    <w:rsid w:val="001517EF"/>
    <w:rsid w:val="001725B8"/>
    <w:rsid w:val="00176B28"/>
    <w:rsid w:val="001857DF"/>
    <w:rsid w:val="00190799"/>
    <w:rsid w:val="001968B1"/>
    <w:rsid w:val="001971A8"/>
    <w:rsid w:val="001C2887"/>
    <w:rsid w:val="001D53AF"/>
    <w:rsid w:val="001E28A7"/>
    <w:rsid w:val="001E28AC"/>
    <w:rsid w:val="00202995"/>
    <w:rsid w:val="002049EF"/>
    <w:rsid w:val="00226F78"/>
    <w:rsid w:val="00256428"/>
    <w:rsid w:val="00257D4B"/>
    <w:rsid w:val="0026505C"/>
    <w:rsid w:val="00282AD1"/>
    <w:rsid w:val="0029161B"/>
    <w:rsid w:val="002B2356"/>
    <w:rsid w:val="002B539C"/>
    <w:rsid w:val="002B5FF5"/>
    <w:rsid w:val="002D23BE"/>
    <w:rsid w:val="002D6CE1"/>
    <w:rsid w:val="002E32EE"/>
    <w:rsid w:val="00303FE6"/>
    <w:rsid w:val="00324B89"/>
    <w:rsid w:val="003835B3"/>
    <w:rsid w:val="00387E5E"/>
    <w:rsid w:val="003922AF"/>
    <w:rsid w:val="00394FBF"/>
    <w:rsid w:val="00395425"/>
    <w:rsid w:val="00397222"/>
    <w:rsid w:val="003B2525"/>
    <w:rsid w:val="003C21FF"/>
    <w:rsid w:val="003C309C"/>
    <w:rsid w:val="003E7D5C"/>
    <w:rsid w:val="003F2C38"/>
    <w:rsid w:val="003F3E0D"/>
    <w:rsid w:val="00402F4B"/>
    <w:rsid w:val="004270E7"/>
    <w:rsid w:val="00475596"/>
    <w:rsid w:val="00484C01"/>
    <w:rsid w:val="00491168"/>
    <w:rsid w:val="004A0D06"/>
    <w:rsid w:val="004A66CB"/>
    <w:rsid w:val="004F7756"/>
    <w:rsid w:val="005010AD"/>
    <w:rsid w:val="005036C9"/>
    <w:rsid w:val="0050446A"/>
    <w:rsid w:val="00507D06"/>
    <w:rsid w:val="00542F8C"/>
    <w:rsid w:val="00552B1A"/>
    <w:rsid w:val="0056686E"/>
    <w:rsid w:val="00570D58"/>
    <w:rsid w:val="005834A7"/>
    <w:rsid w:val="005A0FB0"/>
    <w:rsid w:val="005B654C"/>
    <w:rsid w:val="005B7C06"/>
    <w:rsid w:val="005B7CEE"/>
    <w:rsid w:val="005C1906"/>
    <w:rsid w:val="005E3818"/>
    <w:rsid w:val="00611439"/>
    <w:rsid w:val="00616AA3"/>
    <w:rsid w:val="00642898"/>
    <w:rsid w:val="006430C7"/>
    <w:rsid w:val="006449B4"/>
    <w:rsid w:val="00647F3F"/>
    <w:rsid w:val="0066356E"/>
    <w:rsid w:val="00665C54"/>
    <w:rsid w:val="0067141B"/>
    <w:rsid w:val="0067278F"/>
    <w:rsid w:val="0067334A"/>
    <w:rsid w:val="0067439A"/>
    <w:rsid w:val="00675852"/>
    <w:rsid w:val="00683793"/>
    <w:rsid w:val="006C189C"/>
    <w:rsid w:val="006C3F4F"/>
    <w:rsid w:val="006D0E81"/>
    <w:rsid w:val="006D396B"/>
    <w:rsid w:val="006F7E34"/>
    <w:rsid w:val="00725351"/>
    <w:rsid w:val="00726575"/>
    <w:rsid w:val="00726DB5"/>
    <w:rsid w:val="0073792D"/>
    <w:rsid w:val="007656D2"/>
    <w:rsid w:val="007802A3"/>
    <w:rsid w:val="00787014"/>
    <w:rsid w:val="007957B1"/>
    <w:rsid w:val="00797904"/>
    <w:rsid w:val="007A244A"/>
    <w:rsid w:val="007B2D82"/>
    <w:rsid w:val="007D2553"/>
    <w:rsid w:val="00804748"/>
    <w:rsid w:val="008067C1"/>
    <w:rsid w:val="00817C29"/>
    <w:rsid w:val="00825619"/>
    <w:rsid w:val="00834F3D"/>
    <w:rsid w:val="00835B2D"/>
    <w:rsid w:val="008364A6"/>
    <w:rsid w:val="00846F47"/>
    <w:rsid w:val="00862C16"/>
    <w:rsid w:val="00865F43"/>
    <w:rsid w:val="008A6ADC"/>
    <w:rsid w:val="008B00C6"/>
    <w:rsid w:val="008B1B5C"/>
    <w:rsid w:val="008E2736"/>
    <w:rsid w:val="008E31BB"/>
    <w:rsid w:val="008F1C7C"/>
    <w:rsid w:val="00904751"/>
    <w:rsid w:val="0097172A"/>
    <w:rsid w:val="00974589"/>
    <w:rsid w:val="00976ECD"/>
    <w:rsid w:val="00982A23"/>
    <w:rsid w:val="00990DA7"/>
    <w:rsid w:val="009918ED"/>
    <w:rsid w:val="009A4539"/>
    <w:rsid w:val="009B620E"/>
    <w:rsid w:val="009C5637"/>
    <w:rsid w:val="009D182C"/>
    <w:rsid w:val="009F056F"/>
    <w:rsid w:val="00A13C6B"/>
    <w:rsid w:val="00A15CB3"/>
    <w:rsid w:val="00A21C9C"/>
    <w:rsid w:val="00A23960"/>
    <w:rsid w:val="00A31F78"/>
    <w:rsid w:val="00A447E1"/>
    <w:rsid w:val="00A45BDE"/>
    <w:rsid w:val="00A52A33"/>
    <w:rsid w:val="00A55391"/>
    <w:rsid w:val="00A64B59"/>
    <w:rsid w:val="00A70CF1"/>
    <w:rsid w:val="00A73F6F"/>
    <w:rsid w:val="00A9572A"/>
    <w:rsid w:val="00A95EFF"/>
    <w:rsid w:val="00AA59D3"/>
    <w:rsid w:val="00AC59E2"/>
    <w:rsid w:val="00AC5F99"/>
    <w:rsid w:val="00AD4205"/>
    <w:rsid w:val="00AD4517"/>
    <w:rsid w:val="00AD468C"/>
    <w:rsid w:val="00AD5E9B"/>
    <w:rsid w:val="00AD7993"/>
    <w:rsid w:val="00AF6B75"/>
    <w:rsid w:val="00B06105"/>
    <w:rsid w:val="00B06799"/>
    <w:rsid w:val="00B07C29"/>
    <w:rsid w:val="00B105BB"/>
    <w:rsid w:val="00B1192C"/>
    <w:rsid w:val="00B15B23"/>
    <w:rsid w:val="00B313B0"/>
    <w:rsid w:val="00B379B1"/>
    <w:rsid w:val="00B468EE"/>
    <w:rsid w:val="00B67B7B"/>
    <w:rsid w:val="00B719C4"/>
    <w:rsid w:val="00B742A8"/>
    <w:rsid w:val="00B84259"/>
    <w:rsid w:val="00BB01A7"/>
    <w:rsid w:val="00BC1E82"/>
    <w:rsid w:val="00BE040F"/>
    <w:rsid w:val="00BE09B2"/>
    <w:rsid w:val="00C163A7"/>
    <w:rsid w:val="00C25016"/>
    <w:rsid w:val="00C32715"/>
    <w:rsid w:val="00C3272D"/>
    <w:rsid w:val="00C54EB6"/>
    <w:rsid w:val="00C62654"/>
    <w:rsid w:val="00C62DC7"/>
    <w:rsid w:val="00C6567E"/>
    <w:rsid w:val="00C7358D"/>
    <w:rsid w:val="00C827C7"/>
    <w:rsid w:val="00C85AE1"/>
    <w:rsid w:val="00CA1A06"/>
    <w:rsid w:val="00CA2076"/>
    <w:rsid w:val="00CA33B0"/>
    <w:rsid w:val="00CC03B8"/>
    <w:rsid w:val="00CD4D92"/>
    <w:rsid w:val="00CD7659"/>
    <w:rsid w:val="00CE5C1D"/>
    <w:rsid w:val="00CF4BDF"/>
    <w:rsid w:val="00D02B89"/>
    <w:rsid w:val="00D13052"/>
    <w:rsid w:val="00D162BF"/>
    <w:rsid w:val="00D237A9"/>
    <w:rsid w:val="00D37DF2"/>
    <w:rsid w:val="00D554DE"/>
    <w:rsid w:val="00D57B9D"/>
    <w:rsid w:val="00D71DA1"/>
    <w:rsid w:val="00D74380"/>
    <w:rsid w:val="00D77F0E"/>
    <w:rsid w:val="00DB2D29"/>
    <w:rsid w:val="00DC53C2"/>
    <w:rsid w:val="00DC724E"/>
    <w:rsid w:val="00DD0433"/>
    <w:rsid w:val="00DD4D6F"/>
    <w:rsid w:val="00DD5240"/>
    <w:rsid w:val="00DD6494"/>
    <w:rsid w:val="00DD77C6"/>
    <w:rsid w:val="00DF0409"/>
    <w:rsid w:val="00DF24EC"/>
    <w:rsid w:val="00DF559D"/>
    <w:rsid w:val="00E13D21"/>
    <w:rsid w:val="00E16C24"/>
    <w:rsid w:val="00E172A9"/>
    <w:rsid w:val="00E336B2"/>
    <w:rsid w:val="00E42E12"/>
    <w:rsid w:val="00E55747"/>
    <w:rsid w:val="00E64C9D"/>
    <w:rsid w:val="00E6670A"/>
    <w:rsid w:val="00E802D2"/>
    <w:rsid w:val="00E82C14"/>
    <w:rsid w:val="00EC35C5"/>
    <w:rsid w:val="00ED2AA2"/>
    <w:rsid w:val="00ED3317"/>
    <w:rsid w:val="00ED48CD"/>
    <w:rsid w:val="00EF5EC8"/>
    <w:rsid w:val="00F01D8F"/>
    <w:rsid w:val="00F05B7E"/>
    <w:rsid w:val="00F17CEB"/>
    <w:rsid w:val="00F25F4B"/>
    <w:rsid w:val="00F50F82"/>
    <w:rsid w:val="00F617DF"/>
    <w:rsid w:val="00F6191E"/>
    <w:rsid w:val="00F74E1B"/>
    <w:rsid w:val="00F75578"/>
    <w:rsid w:val="00F77284"/>
    <w:rsid w:val="00F9129B"/>
    <w:rsid w:val="00F96505"/>
    <w:rsid w:val="00FB003D"/>
    <w:rsid w:val="00FC56F0"/>
    <w:rsid w:val="00FC60AE"/>
    <w:rsid w:val="00FC708D"/>
    <w:rsid w:val="00FE7C70"/>
    <w:rsid w:val="00FF079B"/>
    <w:rsid w:val="00FF480B"/>
    <w:rsid w:val="00FF67AA"/>
    <w:rsid w:val="0C553D1D"/>
    <w:rsid w:val="50A01AB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page number"/>
    <w:basedOn w:val="3"/>
    <w:qFormat/>
    <w:uiPriority w:val="0"/>
  </w:style>
  <w:style w:type="paragraph" w:styleId="6">
    <w:name w:val="Balloon Text"/>
    <w:basedOn w:val="1"/>
    <w:link w:val="16"/>
    <w:uiPriority w:val="0"/>
    <w:rPr>
      <w:rFonts w:ascii="Tahoma" w:hAnsi="Tahoma" w:cs="Tahoma"/>
      <w:sz w:val="16"/>
      <w:szCs w:val="16"/>
    </w:rPr>
  </w:style>
  <w:style w:type="paragraph" w:styleId="7">
    <w:name w:val="Body Text Indent 3"/>
    <w:basedOn w:val="1"/>
    <w:qFormat/>
    <w:uiPriority w:val="0"/>
    <w:pPr>
      <w:ind w:firstLine="283"/>
      <w:jc w:val="both"/>
    </w:pPr>
    <w:rPr>
      <w:sz w:val="20"/>
    </w:rPr>
  </w:style>
  <w:style w:type="paragraph" w:styleId="8">
    <w:name w:val="Body Text Indent"/>
    <w:basedOn w:val="1"/>
    <w:qFormat/>
    <w:uiPriority w:val="0"/>
    <w:pPr>
      <w:ind w:firstLine="340"/>
      <w:jc w:val="both"/>
    </w:pPr>
  </w:style>
  <w:style w:type="paragraph" w:styleId="9">
    <w:name w:val="Title"/>
    <w:basedOn w:val="1"/>
    <w:qFormat/>
    <w:uiPriority w:val="0"/>
    <w:pPr>
      <w:jc w:val="center"/>
    </w:pPr>
    <w:rPr>
      <w:b/>
      <w:bCs/>
      <w:sz w:val="28"/>
    </w:rPr>
  </w:style>
  <w:style w:type="paragraph" w:styleId="10">
    <w:name w:val="footer"/>
    <w:basedOn w:val="1"/>
    <w:uiPriority w:val="0"/>
    <w:pPr>
      <w:tabs>
        <w:tab w:val="center" w:pos="4677"/>
        <w:tab w:val="right" w:pos="9355"/>
      </w:tabs>
    </w:pPr>
  </w:style>
  <w:style w:type="paragraph" w:styleId="11">
    <w:name w:val="Normal (Web)"/>
    <w:basedOn w:val="1"/>
    <w:qFormat/>
    <w:uiPriority w:val="0"/>
    <w:pPr>
      <w:spacing w:after="129"/>
      <w:jc w:val="both"/>
    </w:pPr>
    <w:rPr>
      <w:rFonts w:ascii="Verdana" w:hAnsi="Verdana"/>
      <w:color w:val="000000"/>
      <w:sz w:val="14"/>
      <w:szCs w:val="14"/>
    </w:rPr>
  </w:style>
  <w:style w:type="paragraph" w:customStyle="1" w:styleId="12">
    <w:name w:val="Char Char Знак Знак Char Char"/>
    <w:basedOn w:val="1"/>
    <w:qFormat/>
    <w:uiPriority w:val="0"/>
    <w:rPr>
      <w:rFonts w:ascii="Verdana" w:hAnsi="Verdana" w:cs="Verdana"/>
      <w:sz w:val="20"/>
      <w:szCs w:val="20"/>
      <w:lang w:val="en-US" w:eastAsia="en-US"/>
    </w:rPr>
  </w:style>
  <w:style w:type="paragraph" w:customStyle="1" w:styleId="13">
    <w:name w:val="Char Char Знак Знак Char Char1"/>
    <w:basedOn w:val="1"/>
    <w:qFormat/>
    <w:uiPriority w:val="0"/>
    <w:rPr>
      <w:rFonts w:ascii="Verdana" w:hAnsi="Verdana" w:cs="Verdana"/>
      <w:sz w:val="20"/>
      <w:szCs w:val="20"/>
      <w:lang w:val="en-US" w:eastAsia="en-US"/>
    </w:rPr>
  </w:style>
  <w:style w:type="paragraph" w:customStyle="1" w:styleId="14">
    <w:name w:val="ConsPlusNormal"/>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15">
    <w:name w:val="ConsNormal"/>
    <w:qFormat/>
    <w:uiPriority w:val="0"/>
    <w:pPr>
      <w:widowControl w:val="0"/>
      <w:autoSpaceDE w:val="0"/>
      <w:autoSpaceDN w:val="0"/>
      <w:adjustRightInd w:val="0"/>
      <w:ind w:firstLine="720"/>
    </w:pPr>
    <w:rPr>
      <w:rFonts w:ascii="Arial" w:hAnsi="Arial" w:eastAsia="Times New Roman" w:cs="Arial"/>
      <w:lang w:val="ru-RU" w:eastAsia="ru-RU" w:bidi="ar-SA"/>
    </w:rPr>
  </w:style>
  <w:style w:type="character" w:customStyle="1" w:styleId="16">
    <w:name w:val="Текст выноски Знак"/>
    <w:basedOn w:val="3"/>
    <w:link w:val="6"/>
    <w:uiPriority w:val="0"/>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C3AC03-ECAD-4732-A330-AF5617DFCB23}">
  <ds:schemaRefs/>
</ds:datastoreItem>
</file>

<file path=docProps/app.xml><?xml version="1.0" encoding="utf-8"?>
<Properties xmlns="http://schemas.openxmlformats.org/officeDocument/2006/extended-properties" xmlns:vt="http://schemas.openxmlformats.org/officeDocument/2006/docPropsVTypes">
  <Template>Normal</Template>
  <Company>Офис</Company>
  <Pages>2</Pages>
  <Words>819</Words>
  <Characters>4670</Characters>
  <Lines>38</Lines>
  <Paragraphs>10</Paragraphs>
  <TotalTime>28</TotalTime>
  <ScaleCrop>false</ScaleCrop>
  <LinksUpToDate>false</LinksUpToDate>
  <CharactersWithSpaces>5479</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2022-04-25T08:53:00Z</dcterms:created>
  <dc:creator>Галя</dc:creator>
  <cp:lastModifiedBy>Верочка</cp:lastModifiedBy>
  <cp:lastPrinted>2010-06-24T10:53:00Z</cp:lastPrinted>
  <dcterms:modified xsi:type="dcterms:W3CDTF">2023-07-24T12:18:30Z</dcterms:modified>
  <dc:title>Договор  задатка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9657BE0AFC544216A82EE94106308E13</vt:lpwstr>
  </property>
</Properties>
</file>