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01.11.2023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Шилов Станислав Валерьевич (07.03.1984г.р., место рожд: г. Челябинск, адрес рег: 454006, Челябинская обл, Челябинск г, 3-го Интернационала ул, д. 71, кв. 124, СНИЛС14250875249, ИНН 745306412100, паспорт РФ серия 7505, номер 739709, выдан 30.11.2005, кем выдан УВД Центрального района города Челябинска, код подразделения 742-048),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22.11.2021г. по делу №А76-25874/2021,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11.12.2023г. по продаже имущества Шилова Станислава Валерьевича,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Cobalt, модель: Chevrolet Cobalt, VIN: XWBJF69VJEA011380, год изготовления: 2013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Захаров Всеволод Викторович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11.12.2023г.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Королева Евгения Леонидовна (ИНН 744885201064)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Шилов Станислав Валерьевич (07.03.1984г.р., место рожд: г. Челябинск, адрес рег: 454006, Челябинская обл, Челябинск г, 3-го Интернационала ул, д. 71, кв. 124, СНИЛС14250875249, ИНН 745306412100, паспорт РФ серия 7505, номер 739709, выдан 30.11.2005, кем выдан УВД Центрального района города Челябинска, код подразделения 742-048)</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Королева Евгения Леонидовна (ИНН 744885201064)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Шилова Станислава Валерьевича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