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1EC6D1CC" w:rsidR="00777765" w:rsidRPr="00811556" w:rsidRDefault="008907ED" w:rsidP="00607DC4">
      <w:pPr>
        <w:spacing w:after="0" w:line="240" w:lineRule="auto"/>
        <w:ind w:firstLine="567"/>
        <w:jc w:val="both"/>
      </w:pPr>
      <w:r w:rsidRPr="008907E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907E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907E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77777777" w:rsidR="00B368B1" w:rsidRPr="008907E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07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E46C36D" w14:textId="3DAAC366" w:rsidR="008907ED" w:rsidRDefault="008907ED" w:rsidP="008907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ПАО «Татфондбанк», ИНН 1653016914, ОГРН 1021600000036, уведомление от 25.08.2017 № 84К/78871 о включении в РТК третьей очереди, процедура банкротства (142 493,00 руб.)</w:t>
      </w:r>
      <w:r>
        <w:t xml:space="preserve"> - </w:t>
      </w:r>
      <w:r>
        <w:t>142 493,00</w:t>
      </w:r>
      <w:r>
        <w:t xml:space="preserve"> </w:t>
      </w:r>
      <w:r>
        <w:t>руб.</w:t>
      </w:r>
    </w:p>
    <w:p w14:paraId="3BC3FFEB" w14:textId="6D88D5DD" w:rsidR="008907ED" w:rsidRDefault="008907ED" w:rsidP="008907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proofErr w:type="spellStart"/>
      <w:r>
        <w:t>Чипчин</w:t>
      </w:r>
      <w:proofErr w:type="spellEnd"/>
      <w:r>
        <w:t xml:space="preserve"> Егор Александрович (поручитель ООО «Бани и Сауны», ИНН 1001165261 - исключен из ЕГРЮЛ), КД 1685/2008/КЛ от 09.10.2008, решение Петрозаводского городского суда Республики Карелия от 22.01.2010 по делу 2-661/9-2010, КД 1638/2008/М от 24.09.2008, решение Петрозаводского городского суда Республики Карелия от 22.01.2010 по делу 2-713/9-2010 (934 694,67 руб.)</w:t>
      </w:r>
      <w:r>
        <w:t xml:space="preserve"> - </w:t>
      </w:r>
      <w:r>
        <w:t>934 694,67</w:t>
      </w:r>
      <w:r>
        <w:t xml:space="preserve"> </w:t>
      </w:r>
      <w:r>
        <w:t>руб.</w:t>
      </w:r>
    </w:p>
    <w:p w14:paraId="693DB39C" w14:textId="690DCDFA" w:rsidR="008907ED" w:rsidRDefault="008907ED" w:rsidP="008907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Акимова Галина Алексеевна, КД 23640/2011/С от 15.12.2011, г. Москва, истек срок исковой давности (563 668,06 руб.)</w:t>
      </w:r>
      <w:r>
        <w:t xml:space="preserve"> - </w:t>
      </w:r>
      <w:r>
        <w:t>563 668,06</w:t>
      </w:r>
      <w:r>
        <w:tab/>
        <w:t>руб.</w:t>
      </w:r>
    </w:p>
    <w:p w14:paraId="7F204E52" w14:textId="076DA10E" w:rsidR="008907ED" w:rsidRDefault="008907ED" w:rsidP="008907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proofErr w:type="spellStart"/>
      <w:r>
        <w:t>Болгарев</w:t>
      </w:r>
      <w:proofErr w:type="spellEnd"/>
      <w:r>
        <w:t xml:space="preserve"> Алексей Вадимович, КД 20954/2011/I от 09.08.2011, имеется решение Малоярославецкого районного суда Калужской области от 30.10.2012 по делу 2-1173/2012 и решение Кировского районного суда Калужской области от 05.02.2014 по делу 2-10/2014 на сумму 5 965 504,05 руб. (7 461 572,14 руб.)</w:t>
      </w:r>
      <w:r>
        <w:t xml:space="preserve"> - </w:t>
      </w:r>
      <w:r>
        <w:t>7 461 572,14</w:t>
      </w:r>
      <w:r>
        <w:t xml:space="preserve"> </w:t>
      </w:r>
      <w:r>
        <w:t>руб.</w:t>
      </w:r>
    </w:p>
    <w:p w14:paraId="15699A26" w14:textId="387F3060" w:rsidR="008907ED" w:rsidRDefault="008907ED" w:rsidP="008907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 xml:space="preserve">Керимов </w:t>
      </w:r>
      <w:proofErr w:type="spellStart"/>
      <w:r>
        <w:t>Бархуз</w:t>
      </w:r>
      <w:proofErr w:type="spellEnd"/>
      <w:r>
        <w:t xml:space="preserve"> Керим </w:t>
      </w:r>
      <w:proofErr w:type="spellStart"/>
      <w:r>
        <w:t>оглы</w:t>
      </w:r>
      <w:proofErr w:type="spellEnd"/>
      <w:r>
        <w:t>, КД 197/2012/I от 04.04.2012, решение Октябрьского районного суда г. Саратова от 27.11.2012 по делу 2-2945/2012 (17 055 515,18 руб.)</w:t>
      </w:r>
      <w:r>
        <w:t xml:space="preserve"> - </w:t>
      </w:r>
      <w:r>
        <w:t>17 055 515,18</w:t>
      </w:r>
      <w:r>
        <w:t xml:space="preserve"> </w:t>
      </w:r>
      <w:r>
        <w:t>руб.</w:t>
      </w:r>
    </w:p>
    <w:p w14:paraId="66B90040" w14:textId="76E652F7" w:rsidR="008907ED" w:rsidRDefault="008907E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 xml:space="preserve">Мартиросян Андраник </w:t>
      </w:r>
      <w:proofErr w:type="spellStart"/>
      <w:r>
        <w:t>Роликович</w:t>
      </w:r>
      <w:proofErr w:type="spellEnd"/>
      <w:r>
        <w:t>, КД 1071/2011/I от 22.11.2011, решение Октябрьского районного суда г. Саратова от 18.04.2013 по делу 2-657/13 (13 446 523,31 руб.)</w:t>
      </w:r>
      <w:r>
        <w:t xml:space="preserve"> - </w:t>
      </w:r>
      <w:r>
        <w:t>13 446 523,31</w:t>
      </w:r>
      <w:r>
        <w:t xml:space="preserve"> </w:t>
      </w:r>
      <w:r>
        <w:t>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8907ED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47C1C1F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907ED" w:rsidRPr="008907ED">
        <w:rPr>
          <w:rFonts w:ascii="Times New Roman CYR" w:hAnsi="Times New Roman CYR" w:cs="Times New Roman CYR"/>
          <w:b/>
          <w:bCs/>
          <w:color w:val="000000"/>
        </w:rPr>
        <w:t>30 октября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ECC157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8907ED" w:rsidRPr="008907ED">
        <w:rPr>
          <w:b/>
          <w:bCs/>
          <w:color w:val="000000"/>
        </w:rPr>
        <w:t>30 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8907ED" w:rsidRPr="008907ED">
        <w:rPr>
          <w:b/>
          <w:bCs/>
          <w:color w:val="000000"/>
        </w:rPr>
        <w:t>18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</w:t>
      </w:r>
      <w:r w:rsidRPr="0037642D">
        <w:rPr>
          <w:b/>
          <w:bCs/>
          <w:color w:val="000000"/>
        </w:rPr>
        <w:lastRenderedPageBreak/>
        <w:t xml:space="preserve">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2CFAFA4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907ED" w:rsidRPr="008907ED">
        <w:rPr>
          <w:b/>
          <w:bCs/>
          <w:color w:val="000000"/>
        </w:rPr>
        <w:t>19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8907ED" w:rsidRPr="008907ED">
        <w:rPr>
          <w:b/>
          <w:bCs/>
          <w:color w:val="000000"/>
        </w:rPr>
        <w:t>07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8907ED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DEDFE64" w14:textId="77777777" w:rsidR="008907E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</w:p>
    <w:p w14:paraId="22AFE7CF" w14:textId="1F2C17D5" w:rsidR="00B368B1" w:rsidRDefault="008907E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лотам 1-3,5-6: </w:t>
      </w:r>
      <w:bookmarkStart w:id="0" w:name="_Hlk145408856"/>
      <w:r w:rsidR="00B368B1" w:rsidRPr="005246E8">
        <w:rPr>
          <w:b/>
          <w:bCs/>
          <w:color w:val="000000"/>
        </w:rPr>
        <w:t xml:space="preserve">с </w:t>
      </w:r>
      <w:r>
        <w:rPr>
          <w:b/>
          <w:bCs/>
          <w:color w:val="000000"/>
        </w:rPr>
        <w:t xml:space="preserve">21 декабря </w:t>
      </w:r>
      <w:r w:rsidR="00B368B1" w:rsidRPr="005246E8">
        <w:rPr>
          <w:b/>
          <w:bCs/>
          <w:color w:val="000000"/>
        </w:rPr>
        <w:t>202</w:t>
      </w:r>
      <w:r w:rsidR="00B368B1" w:rsidRPr="0024147A">
        <w:rPr>
          <w:b/>
          <w:bCs/>
          <w:color w:val="000000"/>
        </w:rPr>
        <w:t>3</w:t>
      </w:r>
      <w:r w:rsidR="00B368B1" w:rsidRPr="005246E8">
        <w:rPr>
          <w:b/>
          <w:bCs/>
          <w:color w:val="000000"/>
        </w:rPr>
        <w:t xml:space="preserve"> г. по</w:t>
      </w:r>
      <w:r>
        <w:rPr>
          <w:b/>
          <w:bCs/>
          <w:color w:val="000000"/>
        </w:rPr>
        <w:t xml:space="preserve"> 16 февраля </w:t>
      </w:r>
      <w:r w:rsidR="00B368B1"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="00B368B1" w:rsidRPr="005246E8">
        <w:rPr>
          <w:b/>
          <w:bCs/>
          <w:color w:val="000000"/>
        </w:rPr>
        <w:t xml:space="preserve"> г</w:t>
      </w:r>
      <w:bookmarkEnd w:id="0"/>
      <w:r w:rsidR="00B368B1" w:rsidRPr="005246E8">
        <w:rPr>
          <w:b/>
          <w:bCs/>
          <w:color w:val="000000"/>
        </w:rPr>
        <w:t>.</w:t>
      </w:r>
      <w:r>
        <w:rPr>
          <w:b/>
          <w:bCs/>
          <w:color w:val="000000"/>
        </w:rPr>
        <w:t>;</w:t>
      </w:r>
    </w:p>
    <w:p w14:paraId="262EB7B4" w14:textId="4E807DE7" w:rsidR="008907ED" w:rsidRPr="005246E8" w:rsidRDefault="008907E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4: </w:t>
      </w:r>
      <w:r w:rsidRPr="005246E8">
        <w:rPr>
          <w:b/>
          <w:bCs/>
          <w:color w:val="000000"/>
        </w:rPr>
        <w:t xml:space="preserve">с </w:t>
      </w:r>
      <w:r>
        <w:rPr>
          <w:b/>
          <w:bCs/>
          <w:color w:val="000000"/>
        </w:rPr>
        <w:t xml:space="preserve">21 декабря </w:t>
      </w:r>
      <w:r w:rsidRPr="005246E8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04</w:t>
      </w:r>
      <w:r>
        <w:rPr>
          <w:b/>
          <w:bCs/>
          <w:color w:val="000000"/>
        </w:rPr>
        <w:t xml:space="preserve"> февраля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</w:t>
      </w:r>
      <w:r>
        <w:rPr>
          <w:b/>
          <w:bCs/>
          <w:color w:val="000000"/>
        </w:rPr>
        <w:t>.</w:t>
      </w:r>
    </w:p>
    <w:p w14:paraId="154FF146" w14:textId="0D53FBC5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8907ED" w:rsidRPr="0089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21 декабря 2023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8907E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90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8907ED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8907ED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8907E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90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8907ED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36607BB" w14:textId="6E65E009" w:rsidR="007C6F6E" w:rsidRPr="007C6F6E" w:rsidRDefault="007C6F6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C6F6E">
        <w:rPr>
          <w:b/>
          <w:bCs/>
          <w:color w:val="000000"/>
        </w:rPr>
        <w:t>Для лотов 1-3,5:</w:t>
      </w:r>
    </w:p>
    <w:p w14:paraId="3EE7116D" w14:textId="5B0B6066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21 декабря 2023 г. по 27 декабря 2023 г. - в размере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41945A1D" w14:textId="69DC8B3C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28 декабря 2023 г. по 03 января 2024 г. - в размере 90,00%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7351EA5E" w14:textId="2063DAA3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04 января 2024 г. по 10 января 2024 г. - в размере 80,00%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2898FE34" w14:textId="4BCC65A2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11 января 2024 г. по 17 января 2024 г. - в размере 70,00%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105CD3A8" w14:textId="566A32CB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18 января 2024 г. по 24 января 2024 г. - в размере 60,00%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54308170" w14:textId="126692BA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25 января 2024 г. по 30 января 2024 г. - в размере 50,00%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63E2825F" w14:textId="43DD8D6B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31 января 2024 г. по 04 февраля 2024 г. - в размере 40,00%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03B06ACE" w14:textId="7256865A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05 февраля 2024 г. по 07 февраля 2024 г. - в размере 30,00%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21FE10B8" w14:textId="2643443E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08 февраля 2024 г. по 10 февраля 2024 г. - в размере 20,00%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2AD418F2" w14:textId="7FCF71C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11 февраля 2024 г. по 13 февраля 2024 г. - в размере 10,00% от начальной цены продажи лот</w:t>
      </w:r>
      <w:r>
        <w:rPr>
          <w:color w:val="000000"/>
        </w:rPr>
        <w:t>ов</w:t>
      </w:r>
      <w:r w:rsidRPr="007C6F6E">
        <w:rPr>
          <w:color w:val="000000"/>
        </w:rPr>
        <w:t>;</w:t>
      </w:r>
    </w:p>
    <w:p w14:paraId="1369D9FB" w14:textId="47161BCF" w:rsid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14 февраля 2024 г. по 16 февраля 2024 г. - в размере 0,</w:t>
      </w:r>
      <w:r>
        <w:rPr>
          <w:color w:val="000000"/>
        </w:rPr>
        <w:t>6</w:t>
      </w:r>
      <w:r w:rsidRPr="007C6F6E">
        <w:rPr>
          <w:color w:val="000000"/>
        </w:rPr>
        <w:t>0% от начальной цены продажи лот</w:t>
      </w:r>
      <w:r>
        <w:rPr>
          <w:color w:val="000000"/>
        </w:rPr>
        <w:t>ов.</w:t>
      </w:r>
    </w:p>
    <w:p w14:paraId="4703290B" w14:textId="74CD6F4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C6F6E">
        <w:rPr>
          <w:b/>
          <w:bCs/>
          <w:color w:val="000000"/>
        </w:rPr>
        <w:t>Для лота 4:</w:t>
      </w:r>
    </w:p>
    <w:p w14:paraId="793515D6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21 декабря 2023 г. по 27 декабря 2023 г. - в размере начальной цены продажи лота;</w:t>
      </w:r>
    </w:p>
    <w:p w14:paraId="0493A636" w14:textId="7E44789C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lastRenderedPageBreak/>
        <w:t>с 28 декабря 2023 г. по 03 января 2024 г. - в размере 94,94% от начальной цены продажи лота;</w:t>
      </w:r>
    </w:p>
    <w:p w14:paraId="2F5C15A6" w14:textId="420AA44F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04 января 2024 г. по 10 января 2024 г. - в размере 89,88% от начальной цены продажи лота;</w:t>
      </w:r>
    </w:p>
    <w:p w14:paraId="7AB74556" w14:textId="409A90A3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11 января 2024 г. по 17 января 2024 г. - в размере 84,82% от начальной цены продажи лота;</w:t>
      </w:r>
    </w:p>
    <w:p w14:paraId="63EBF1BF" w14:textId="7CDB2EDB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18 января 2024 г. по 24 января 2024 г. - в размере 79,76% от начальной цены продажи лота;</w:t>
      </w:r>
    </w:p>
    <w:p w14:paraId="6DA60FD0" w14:textId="6FEB37BA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25 января 2024 г. по 30 января 2024 г. - в размере 74,70% от начальной цены продажи лота;</w:t>
      </w:r>
    </w:p>
    <w:p w14:paraId="581A2436" w14:textId="0E6B1A73" w:rsid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6F6E">
        <w:rPr>
          <w:color w:val="000000"/>
        </w:rPr>
        <w:t>с 31 января 2024 г. по 04 февраля 2024 г. - в размере 69,64% от начальной цены продажи лота</w:t>
      </w:r>
      <w:r>
        <w:rPr>
          <w:color w:val="000000"/>
        </w:rPr>
        <w:t>.</w:t>
      </w:r>
    </w:p>
    <w:p w14:paraId="780180A9" w14:textId="648708AD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C6F6E">
        <w:rPr>
          <w:b/>
          <w:bCs/>
          <w:color w:val="000000"/>
        </w:rPr>
        <w:t>Для лота 6:</w:t>
      </w:r>
    </w:p>
    <w:p w14:paraId="4F2FA17B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21 декабря 2023 г. по 27 декабря 2023 г. - в размере начальной цены продажи лота;</w:t>
      </w:r>
    </w:p>
    <w:p w14:paraId="7152D0FC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28 декабря 2023 г. по 03 января 2024 г. - в размере 90,00% от начальной цены продажи лота;</w:t>
      </w:r>
    </w:p>
    <w:p w14:paraId="11284391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04 января 2024 г. по 10 января 2024 г. - в размере 80,00% от начальной цены продажи лота;</w:t>
      </w:r>
    </w:p>
    <w:p w14:paraId="50B4DA6E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11 января 2024 г. по 17 января 2024 г. - в размере 70,00% от начальной цены продажи лота;</w:t>
      </w:r>
    </w:p>
    <w:p w14:paraId="452C961C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18 января 2024 г. по 24 января 2024 г. - в размере 60,00% от начальной цены продажи лота;</w:t>
      </w:r>
    </w:p>
    <w:p w14:paraId="5A879C71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25 января 2024 г. по 30 января 2024 г. - в размере 50,00% от начальной цены продажи лота;</w:t>
      </w:r>
    </w:p>
    <w:p w14:paraId="1F8986F3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31 января 2024 г. по 04 февраля 2024 г. - в размере 40,00% от начальной цены продажи лота;</w:t>
      </w:r>
    </w:p>
    <w:p w14:paraId="7A0AE154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05 февраля 2024 г. по 07 февраля 2024 г. - в размере 30,00% от начальной цены продажи лота;</w:t>
      </w:r>
    </w:p>
    <w:p w14:paraId="0E73578B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08 февраля 2024 г. по 10 февраля 2024 г. - в размере 20,00% от начальной цены продажи лота;</w:t>
      </w:r>
    </w:p>
    <w:p w14:paraId="79F22511" w14:textId="77777777" w:rsidR="007C6F6E" w:rsidRPr="007C6F6E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>с 11 февраля 2024 г. по 13 февраля 2024 г. - в размере 10,00% от начальной цены продажи лота;</w:t>
      </w:r>
    </w:p>
    <w:p w14:paraId="45D02C04" w14:textId="7390EA93" w:rsidR="00B368B1" w:rsidRDefault="007C6F6E" w:rsidP="007C6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C6F6E">
        <w:rPr>
          <w:color w:val="000000"/>
        </w:rPr>
        <w:t xml:space="preserve">с 14 февраля 2024 г. по 16 февраля 2024 г. - в размере </w:t>
      </w:r>
      <w:r>
        <w:rPr>
          <w:color w:val="000000"/>
        </w:rPr>
        <w:t>5</w:t>
      </w:r>
      <w:r w:rsidRPr="007C6F6E">
        <w:rPr>
          <w:color w:val="000000"/>
        </w:rPr>
        <w:t>,0</w:t>
      </w:r>
      <w:r>
        <w:rPr>
          <w:color w:val="000000"/>
        </w:rPr>
        <w:t>8</w:t>
      </w:r>
      <w:r w:rsidRPr="007C6F6E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115B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9B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направления Победителю означает отказ (уклонение) Победителя от заключения Договора</w:t>
      </w:r>
      <w:r w:rsidRPr="002D4B70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1B49BC3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7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D4B70" w:rsidRPr="002D4B7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D4B70" w:rsidRPr="002D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10:00 до 17:00 часов по адресу: г. Москва, Павелецкая наб., д. 8, тел. 8-800-505-80-32; у ОТ: Тел. 8 (499) 395-00-20 (с 9.00 до 18.00 по Московскому времени в рабочие дни),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2D4B70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7C6F6E"/>
    <w:rsid w:val="00811556"/>
    <w:rsid w:val="0085335C"/>
    <w:rsid w:val="00865FD7"/>
    <w:rsid w:val="00870241"/>
    <w:rsid w:val="008712EA"/>
    <w:rsid w:val="00887AE0"/>
    <w:rsid w:val="008907ED"/>
    <w:rsid w:val="008A37E3"/>
    <w:rsid w:val="008A65C6"/>
    <w:rsid w:val="008B58B0"/>
    <w:rsid w:val="008D49B6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A46A6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2507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10</cp:revision>
  <cp:lastPrinted>2023-07-06T09:26:00Z</cp:lastPrinted>
  <dcterms:created xsi:type="dcterms:W3CDTF">2023-07-06T09:54:00Z</dcterms:created>
  <dcterms:modified xsi:type="dcterms:W3CDTF">2023-09-12T08:11:00Z</dcterms:modified>
</cp:coreProperties>
</file>