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10.08.2023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Конохов Юрий Николаевич (08.02.1987г.р., место рожд: дер. Березовка Жуковского р-на Брянской обл., адрес рег: 242702, Брянская обл, Жуковский р-н, Жуковка г, Осипенко ул, дом № 15, СНИЛС12582568273, ИНН 324300145125, паспорт РФ серия 1511, номер 951020, выдан 28.07.2011, кем выдан ТП УФМС России по Брянской области в гор. Жуковка, код подразделения 320-012),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Брянской области от 02.03.2023г. по делу №А09-1191/2023,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18.09.2023г. по продаже имущества Конохова Юрия Николаевича,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ССАНГ ЕНГ , модель: КАЙРОН DJ, VIN: XU3S0A1KS9ZC11266, год изготовления: 2009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ООО КБ "АЙМАНИБАНК" (ИНН 0411005333,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Конохов Юрий Николаевич (08.02.1987г.р., место рожд: дер. Березовка Жуковского р-на Брянской обл., адрес рег: 242702, Брянская обл, Жуковский р-н, Жуковка г, Осипенко ул, дом № 15, СНИЛС12582568273, ИНН 324300145125, паспорт РФ серия 1511, номер 951020, выдан 28.07.2011, кем выдан ТП УФМС России по Брянской области в гор. Жуковка, код подразделения 320-012)</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Конохова Юрия Николаевича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