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02.08.2023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Рожкова Марина Петровна (Шелдыбаева Марина Петровна) (10.06.1988г.р., место рожд: гор. Уфа Башкирская АССР, адрес рег: 450092, Башкортостан Респ, Уфа г, Мубарякова ул, дом № 7, корпус 1, квартира 42, СНИЛС10438300612, ИНН 027400881912, паспорт РФ серия 8020, номер 087716, выдан 28.02.2020, кем выдан МВД ПО РЕСПУБЛИКЕ БАШКОРТОСТАН, код подразделения 020-004),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Республики Башкортостан от 20.04.2023г. по делу №А07-7249/2023,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1.1.  В соответствии с Протоколом №  от 08.09.2023г. по продаже имущества Рожковой Марины Петровны,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5" w:type="dxa"/>
            <w:gridSpan w:val="11"/>
            <w:shd w:val="clear" w:color="FFFFFF" w:fill="FFFFFF"/>
            <w:textDirection w:val="lrTb"/>
            <w:vAlign w:val="bottom"/>
          </w:tcPr>
          <w:p>
            <w:pPr>
              <w:wordWrap w:val="1"/>
              <w:jc w:val="both"/>
            </w:pPr>
            <w:r>
              <w:rPr>
                <w:rFonts w:ascii="Times New Roman" w:hAnsi="Times New Roman"/>
                <w:sz w:val="20"/>
                <w:szCs w:val="20"/>
              </w:rPr>
              <w:t>ЛОТ №1 - Земельный участок, адрес (местонахождение): 450065, Россия,г Уфа,ул Олега Кошевого, СНТ "Ягодка-1",уч.113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Право собственности зарегистрировано в установленном законом порядке (далее по тексту - «Имущество»).</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08.09.2023г. на сайте https://lot-online.ru/, и указана в Протоколе  от 08.09.2023г.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  </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2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Рожкова Марина Петровна (Шелдыбаева Марина Петровна) (10.06.1988г.р., место рожд: гор. Уфа Башкирская АССР, адрес рег: 450092, Башкортостан Респ, Уфа г, Мубарякова ул, дом № 7, корпус 1, квартира 42, СНИЛС10438300612, ИНН 027400881912, паспорт РФ серия 8020, номер 087716, выдан 28.02.2020, кем выдан МВД ПО РЕСПУБЛИКЕ БАШКОРТОСТАН, код подразделения 020-004)</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Рожковой Марины Петровны</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rHeight w:val="360" w:hRule="atLeast"/>
        </w:trPr>
        <w:tc>
          <w:tcPr>
            <w:tcW w:w="2835" w:type="dxa"/>
            <w:gridSpan w:val="3"/>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