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Default Extension="png" ContentType="image/png"/>
  <Override PartName="/word/settings.xml" ContentType="application/vnd.openxmlformats-officedocument.wordprocessingml.setting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webSettings.xml" ContentType="application/vnd.openxmlformats-officedocument.wordprocessingml.webSettings+xml"/>
</Types>
</file>

<file path=_rels/.rels>&#65279;<?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ve="http://schemas.openxmlformats.org/markup-compatibility/2006" xmlns:w="http://schemas.openxmlformats.org/wordprocessingml/2006/main" xmlns:w10="urn:schemas-microsoft-com:office:word" xmlns:wne="http://schemas.microsoft.com/office/word/2006/wordml">
  <w:body>
    <w:tbl>
      <w:tblPr>
        <w:tblStyle w:val="TableStyle0"/>
        <w:tblW w:w="10395" w:type="dxa"/>
        <w:tblLayout w:type="fixed"/>
        <w:tblCellMar>
          <w:left w:w="0" w:type="dxa"/>
          <w:right w:w="0" w:type="dxa"/>
        </w:tblCellMar>
        <w:tblLook w:val="04A0"/>
      </w:tblPr>
      <w:tblGrid>
        <w:gridCol w:w="945"/>
        <w:gridCol w:w="945"/>
        <w:gridCol w:w="945"/>
        <w:gridCol w:w="945"/>
        <w:gridCol w:w="945"/>
        <w:gridCol w:w="945"/>
        <w:gridCol w:w="945"/>
        <w:gridCol w:w="945"/>
        <w:gridCol w:w="945"/>
        <w:gridCol w:w="945"/>
        <w:gridCol w:w="945"/>
      </w:tblGrid>
      <w:tr>
        <w:trPr>
          <w:trHeight w:val="315" w:hRule="exact"/>
        </w:trPr>
        <w:tc>
          <w:tcPr>
            <w:tcW w:w="10395"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ДОГОВОР</w:t>
            </w:r>
          </w:p>
        </w:tc>
      </w:tr>
      <w:tr>
        <w:trPr>
          <w:trHeight w:val="270" w:hRule="exact"/>
        </w:trPr>
        <w:tc>
          <w:tcPr>
            <w:tcW w:w="10395"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купли-продажи</w:t>
            </w:r>
          </w:p>
        </w:tc>
      </w:tr>
      <w:tr>
        <w:trPr>
          <w:trHeight w:val="270" w:hRule="exact"/>
        </w:trPr>
        <w:tc>
          <w:tcPr>
            <w:tcW w:w="9450" w:type="dxa"/>
            <w:gridSpan w:val="10"/>
            <w:shd w:val="clear" w:color="FFFFFF" w:fill="auto"/>
            <w:textDirection w:val="lrTb"/>
            <w:vAlign w:val="top"/>
          </w:tcPr>
          <w:p>
            <w:pPr>
              <w:wordWrap w:val="1"/>
              <w:jc w:val="both"/>
              <w:rPr>
                <w:rFonts w:ascii="Times New Roman" w:hAnsi="Times New Roman"/>
                <w:sz w:val="20"/>
                <w:szCs w:val="20"/>
              </w:rPr>
            </w:pPr>
          </w:p>
        </w:tc>
        <w:tc>
          <w:tcPr>
            <w:tcW w:w="945" w:type="dxa"/>
            <w:shd w:val="clear" w:color="FFFFFF" w:fill="auto"/>
            <w:textDirection w:val="lrTb"/>
            <w:vAlign w:val="bottom"/>
          </w:tcPr>
          <w:p>
            <w:pPr>
              <w:wordWrap w:val="1"/>
              <w:jc w:val="center"/>
              <w:rPr>
                <w:rFonts w:ascii="Times New Roman" w:hAnsi="Times New Roman"/>
                <w:b/>
                <w:sz w:val="20"/>
                <w:szCs w:val="20"/>
              </w:rPr>
            </w:pPr>
          </w:p>
        </w:tc>
      </w:tr>
      <w:tr>
        <w:trPr>
          <w:trHeight w:val="30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Мы, нижеподписавшиеся:</w:t>
            </w:r>
          </w:p>
        </w:tc>
      </w:tr>
      <w:tr>
        <w:trPr>
          <w:trHeight w:val="169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Гражданин РФ Бураева Татьяна Сергеевна (Романенко Татьяна Сергеевна, Николаева Татьяна Сергеевна) (12.08.1984г.р., место рожд: пос. Малыгино Ковровский район Владимирская область, адрес рег: 601962, Владимирская обл, Ковровский р-н, Малыгино п, Юбилейная ул, дом № 63, квартира 42, СНИЛС12245796054, ИНН 331781272808, паспорт РФ серия 1714, номер 370627, выдан 02.09.2014, кем выдан МРО УФМС России по Владимирской области в г. Коврове, код подразделения 330-024), в лице Гражданина РФ Финансового управляющего Черных Анастасии Владимировны (ИНН 741855182997, СНИЛС 14584372787, рег.номер 21402), действующего на основании решения Арбитражного суда Владимирской области от 08.09.2022г. по делу №А11-1409/2022, именуемый в дальнейшем «Продавец», с одной стороны, и </w:t>
            </w:r>
          </w:p>
        </w:tc>
      </w:tr>
      <w:tr>
        <w:trPr>
          <w:trHeight w:val="49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Гражданин РФ , именуемый в дальнейшем «Покупатель» с другой стороны, а совместно именуемые «Стороны», заключили настоящий договор о нижеследующем,</w:t>
            </w:r>
          </w:p>
        </w:tc>
      </w:tr>
      <w:tr>
        <w:trPr>
          <w:trHeight w:val="300" w:hRule="exact"/>
        </w:trPr>
        <w:tc>
          <w:tcPr>
            <w:tcW w:w="10395"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1.  Предмет договора</w:t>
            </w:r>
          </w:p>
        </w:tc>
      </w:tr>
      <w:tr>
        <w:trPr>
          <w:trHeight w:val="145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ДоговорКуплиПродажиТекст2 </w:t>
              <w:br/>
              <w:t>
             1.1.  В соответствии с Протоколом №  от 27.07.2023г. по продаже имущества Бураевой Татьяны Сергеевны, размещенным на торговой площадке АО "РАД" (https://lot-online.ru/)  (далее по тексту – "Протокол"), Продавец обязуется передать в собственность Покупателя, признанного Победителем указанных торгов, имущество, выигранное на этих торгах, а именно: Автомобиль легковой, марка: Skoda, модель: Octavia, VIN: XW8AN2NE5KH022428, год изготовления: 2019 (далее - Имущество).</w:t>
            </w:r>
          </w:p>
        </w:tc>
      </w:tr>
      <w:tr>
        <w:trPr>
          <w:trHeight w:val="300" w:hRule="exact"/>
        </w:trPr>
        <w:tc>
          <w:tcPr>
            <w:tcW w:w="10395" w:type="dxa"/>
            <w:gridSpan w:val="11"/>
            <w:shd w:val="clear" w:color="FFFFFF" w:fill="FFFFFF"/>
            <w:textDirection w:val="lrTb"/>
            <w:vAlign w:val="bottom"/>
          </w:tcPr>
          <w:p>
            <w:pPr>
              <w:wordWrap w:val="1"/>
              <w:jc w:val="both"/>
              <w:rPr>
                <w:rFonts w:ascii="Times New Roman" w:hAnsi="Times New Roman"/>
                <w:sz w:val="20"/>
                <w:szCs w:val="20"/>
              </w:rPr>
            </w:pPr>
          </w:p>
        </w:tc>
      </w:tr>
      <w:tr>
        <w:trPr>
          <w:trHeight w:val="49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1.2. Имущество принадлежит  Продавцу на праве собственности на основании Паспорта транспортного средства , Свидетельства о регистрации ТС .</w:t>
            </w:r>
          </w:p>
        </w:tc>
      </w:tr>
      <w:tr>
        <w:trPr>
          <w:trHeight w:val="49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1.3. На момент составления Договора купли-продажи на вышеуказанном имуществе обременения/ограничения отсутствуют.</w:t>
            </w:r>
          </w:p>
        </w:tc>
      </w:tr>
      <w:tr>
        <w:trPr>
          <w:trHeight w:val="97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1.4. Имущество обеспечено обременением в виде залога в пользу ПАО БАНК ЗЕНИТ (ИНН 7729405872, ОГРН ____).</w:t>
              <w:br/>
              <w:t>
   Продажа имущества на торгах приводит к прекращению права залога (ипотеки) - пп. 4 п. 1 ст. 352 ГК РФ и абз. 6 п. 5 ст. 18.1 ФЗ «О несостоятельности (банкротстве)» от 26.10.2002 г. № 127-ФЗ.</w:t>
            </w:r>
          </w:p>
        </w:tc>
      </w:tr>
      <w:tr>
        <w:trPr>
          <w:trHeight w:val="300" w:hRule="exact"/>
        </w:trPr>
        <w:tc>
          <w:tcPr>
            <w:tcW w:w="10395"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2. Обязанности Сторон</w:t>
            </w:r>
          </w:p>
        </w:tc>
      </w:tr>
      <w:tr>
        <w:trPr>
          <w:trHeight w:val="30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2.1. Продавец обязуется:</w:t>
            </w:r>
          </w:p>
        </w:tc>
      </w:tr>
      <w:tr>
        <w:trPr>
          <w:trHeight w:val="30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2.1.1. Передать Покупателю Имущество по акту приема-передачи.</w:t>
            </w:r>
          </w:p>
        </w:tc>
      </w:tr>
      <w:tr>
        <w:trPr>
          <w:trHeight w:val="73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2.1.2. Передать Покупателю по акту приема-передачи, все необходимые документы для регистрации перехода права собственности на выигранное на открытых торгах Имущество, в течение 30 (тридцати) рабочих дней с момента поступления на расчетный счет Продавца денежных средств в соответствии с настоящим договором.</w:t>
            </w:r>
          </w:p>
        </w:tc>
      </w:tr>
      <w:tr>
        <w:trPr>
          <w:trHeight w:val="30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2.2. Покупатель обязан:</w:t>
            </w:r>
          </w:p>
        </w:tc>
      </w:tr>
      <w:tr>
        <w:trPr>
          <w:trHeight w:val="285" w:hRule="exact"/>
        </w:trPr>
        <w:tc>
          <w:tcPr>
            <w:tcW w:w="10395" w:type="dxa"/>
            <w:gridSpan w:val="11"/>
            <w:shd w:val="clear" w:color="FFFFFF" w:fill="auto"/>
            <w:textDirection w:val="lrTb"/>
            <w:vAlign w:val="bottom"/>
          </w:tcPr>
          <w:p>
            <w:pPr>
              <w:wordWrap w:val="1"/>
              <w:jc w:val="left"/>
              <w:rPr>
                <w:rFonts w:ascii="Times New Roman" w:hAnsi="Times New Roman"/>
                <w:sz w:val="20"/>
                <w:szCs w:val="20"/>
              </w:rPr>
            </w:pPr>
            <w:r>
              <w:rPr>
                <w:rFonts w:ascii="Times New Roman" w:hAnsi="Times New Roman"/>
                <w:sz w:val="20"/>
                <w:szCs w:val="20"/>
              </w:rPr>
              <w:t xml:space="preserve">                2.2.1. Оплатить полную стоимость имущества в соответствии с настоящим договором.</w:t>
            </w:r>
          </w:p>
        </w:tc>
      </w:tr>
      <w:tr>
        <w:trPr>
          <w:trHeight w:val="49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2.2.2. В течение 30 (тридцати) рабочих дней со дня исполнения всех своих обязательств, предусмотренных настоящим договором, принять от Продавца имущество по акту приема-передачи.</w:t>
            </w:r>
          </w:p>
        </w:tc>
      </w:tr>
      <w:tr>
        <w:trPr>
          <w:trHeight w:val="300" w:hRule="exact"/>
        </w:trPr>
        <w:tc>
          <w:tcPr>
            <w:tcW w:w="10395"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3. Цена и порядок расчетов</w:t>
            </w:r>
          </w:p>
        </w:tc>
      </w:tr>
      <w:tr>
        <w:trPr>
          <w:trHeight w:val="300" w:hRule="exact"/>
        </w:trPr>
        <w:tc>
          <w:tcPr>
            <w:tcW w:w="10395" w:type="dxa"/>
            <w:gridSpan w:val="11"/>
            <w:shd w:val="clear" w:color="FFFFFF" w:fill="auto"/>
            <w:textDirection w:val="lrTb"/>
            <w:vAlign w:val="bottom"/>
          </w:tcPr>
          <w:p>
            <w:pPr>
              <w:wordWrap w:val="1"/>
              <w:jc w:val="left"/>
              <w:rPr>
                <w:rFonts w:ascii="Times New Roman" w:hAnsi="Times New Roman"/>
                <w:sz w:val="20"/>
                <w:szCs w:val="20"/>
              </w:rPr>
            </w:pPr>
            <w:r>
              <w:rPr>
                <w:rFonts w:ascii="Times New Roman" w:hAnsi="Times New Roman"/>
                <w:sz w:val="20"/>
                <w:szCs w:val="20"/>
              </w:rPr>
              <w:t xml:space="preserve">                3.1. Стоимость имущества составляет:</w:t>
            </w:r>
          </w:p>
        </w:tc>
      </w:tr>
      <w:tr>
        <w:trPr>
          <w:trHeight w:val="97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(Ноль) рублей 00 копеек без учета НДС (подпункт 15 п.2 ст.146 НК), Задаток, оплаченный Покупателем, составляет  (Ноль) рублей 00 копеек, итоговая сумма оплаты Покупателем составляет ( (Ноль) рублей 00 копеек. Цена настоящего договора установлена по результатам проведения торгов, которые проводились 27.07.2023г. на сайте https://lot-online.ru/, является окончательной и изменению не подлежит.</w:t>
            </w:r>
          </w:p>
        </w:tc>
      </w:tr>
      <w:tr>
        <w:trPr>
          <w:trHeight w:val="52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3.2. Расходы по переходу права собственности и иные, не указанные в настоящем договоре возможные расходы, необходимые для исполнения договорных обязательств, несет Покупатель.</w:t>
            </w:r>
          </w:p>
        </w:tc>
      </w:tr>
      <w:tr>
        <w:trPr>
          <w:trHeight w:val="49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3.3. Оплата стоимости имущества по настоящему договору осуществляется Покупателем безналичным платежом на расчетный счет:</w:t>
            </w:r>
          </w:p>
        </w:tc>
      </w:tr>
      <w:tr>
        <w:trPr>
          <w:trHeight w:val="300" w:hRule="exact"/>
        </w:trPr>
        <w:tc>
          <w:tcPr>
            <w:tcW w:w="10395" w:type="dxa"/>
            <w:gridSpan w:val="11"/>
            <w:shd w:val="clear" w:color="FFFFFF" w:fill="auto"/>
            <w:textDirection w:val="lrTb"/>
            <w:vAlign w:val="bottom"/>
          </w:tcPr>
          <w:p>
            <w:pPr>
              <w:wordWrap w:val="1"/>
              <w:jc w:val="left"/>
              <w:rPr>
                <w:rFonts w:ascii="Times New Roman" w:hAnsi="Times New Roman"/>
                <w:sz w:val="20"/>
                <w:szCs w:val="20"/>
              </w:rPr>
            </w:pPr>
            <w:r>
              <w:rPr>
                <w:rFonts w:ascii="Times New Roman" w:hAnsi="Times New Roman"/>
                <w:sz w:val="20"/>
                <w:szCs w:val="20"/>
              </w:rPr>
              <w:t>Получатель: Арбитражный управляющий Черных Анастасия Владимировна (ИНН 741855182997)</w:t>
            </w:r>
          </w:p>
        </w:tc>
      </w:tr>
      <w:tr>
        <w:trPr>
          <w:trHeight w:val="975" w:hRule="exact"/>
        </w:trPr>
        <w:tc>
          <w:tcPr>
            <w:tcW w:w="10395" w:type="dxa"/>
            <w:gridSpan w:val="11"/>
            <w:shd w:val="clear" w:color="FFFFFF" w:fill="auto"/>
            <w:textDirection w:val="lrTb"/>
            <w:vAlign w:val="bottom"/>
          </w:tcPr>
          <w:p>
            <w:pPr>
              <w:wordWrap w:val="1"/>
              <w:jc w:val="left"/>
              <w:rPr>
                <w:rFonts w:ascii="Times New Roman" w:hAnsi="Times New Roman"/>
                <w:sz w:val="20"/>
                <w:szCs w:val="20"/>
              </w:rPr>
            </w:pPr>
            <w:r>
              <w:rPr>
                <w:rFonts w:ascii="Times New Roman" w:hAnsi="Times New Roman"/>
                <w:sz w:val="20"/>
                <w:szCs w:val="20"/>
              </w:rPr>
              <w:t>Р/СЧ 40802810272000080172</w:t>
              <w:br/>
              <w:t>
БИК 047501602</w:t>
              <w:br/>
              <w:t>
КР/СЧ 30101810700000000602</w:t>
              <w:br/>
              <w:t>
НАИМЕНОВАНИЕ БАНКА ЧЕЛЯБИНСКОЕ ОСБ N 8597,</w:t>
            </w:r>
          </w:p>
        </w:tc>
      </w:tr>
      <w:tr>
        <w:trPr>
          <w:trHeight w:val="300" w:hRule="exact"/>
        </w:trPr>
        <w:tc>
          <w:tcPr>
            <w:tcW w:w="10395" w:type="dxa"/>
            <w:gridSpan w:val="11"/>
            <w:shd w:val="clear" w:color="FFFFFF" w:fill="auto"/>
            <w:textDirection w:val="lrTb"/>
            <w:vAlign w:val="bottom"/>
          </w:tcPr>
          <w:p>
            <w:pPr>
              <w:wordWrap w:val="1"/>
              <w:jc w:val="left"/>
              <w:rPr>
                <w:rFonts w:ascii="Times New Roman" w:hAnsi="Times New Roman"/>
                <w:sz w:val="20"/>
                <w:szCs w:val="20"/>
              </w:rPr>
            </w:pPr>
            <w:r>
              <w:rPr>
                <w:rFonts w:ascii="Times New Roman" w:hAnsi="Times New Roman"/>
                <w:sz w:val="20"/>
                <w:szCs w:val="20"/>
              </w:rPr>
              <w:t>в течение тридцати дней с даты подписания настоящего договора.</w:t>
            </w:r>
          </w:p>
        </w:tc>
      </w:tr>
      <w:tr>
        <w:trPr>
          <w:trHeight w:val="73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Моментом надлежащей оплаты по настоящему договору считать момент перечисления банком Покупателя либо банком-корреспондентом предусмотренных настоящим договором сумм в банк Продавца для их дальнейшего зачисления на счет Продавца.</w:t>
            </w:r>
          </w:p>
        </w:tc>
      </w:tr>
      <w:tr>
        <w:trPr>
          <w:trHeight w:val="300" w:hRule="exact"/>
        </w:trPr>
        <w:tc>
          <w:tcPr>
            <w:tcW w:w="10395"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4. Передача имущества и переход риска случайной гибели имущества</w:t>
            </w:r>
          </w:p>
        </w:tc>
      </w:tr>
      <w:tr>
        <w:trPr>
          <w:trHeight w:val="93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4.1. Продавец в течение 30 (тридцати) рабочих дней со дня исполнения Покупателем всех своих обязательств, предусмотренных настоящим договором, обязан передать Покупателю Имущество. Передача имущества осуществляется посредством подписания Сторонами акта приема-передачи. Момент подписания акта приема-передачи является моментом передачи Имущества Покупателю.</w:t>
            </w:r>
          </w:p>
        </w:tc>
      </w:tr>
      <w:tr>
        <w:trPr>
          <w:trHeight w:val="69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4.2. Стороны договора определили, что Продавец осуществляет подготовку Имущества к передаче его Покупателю, в том числе составление и представление на подписание акта приема-передачи. Указанные действия осуществляются Продавцом своими силами и за свой счет.</w:t>
            </w:r>
          </w:p>
        </w:tc>
      </w:tr>
      <w:tr>
        <w:trPr>
          <w:trHeight w:val="79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4.3. Имущество, полагают Стороны договора, будет считаться переданным от Продавца Покупателю с момента подписания акта приема-передачи обеими Сторонами договора. С этого момента на Покупателя переходит риск случайной гибели или случайного повреждения имущества, переданного Покупателю.</w:t>
            </w:r>
          </w:p>
        </w:tc>
      </w:tr>
      <w:tr>
        <w:trPr>
          <w:trHeight w:val="69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4.4. В случае, если Покупатель уклоняется от подписания акта приема-передачи по истечении 30 (тридцати) рабочих дней со дня исполнения Покупателем всех своих обязательств, риск случайной гибели или случайного повреждения Имущества переходит на него.</w:t>
            </w:r>
          </w:p>
        </w:tc>
      </w:tr>
      <w:tr>
        <w:trPr>
          <w:trHeight w:val="285" w:hRule="exact"/>
        </w:trPr>
        <w:tc>
          <w:tcPr>
            <w:tcW w:w="10395"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5. Возникновение права собственности</w:t>
            </w:r>
          </w:p>
        </w:tc>
      </w:tr>
      <w:tr>
        <w:trPr>
          <w:trHeight w:val="127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5.1. Право собственности Имуществом возникает у Покупателя с момента подписания акта приема-передачи Имуществом либо по истечении 30 (тридцати) рабочих дней со дня исполнения Покупателем всех своих обязательств в случае, если Покупатель уклоняется от подписания акта приема-передачи. Покупатель до подписания настоящего договора ознакомился с техническим состоянием Имущества. Имущество передано в надлежащем качественном состоянии.</w:t>
            </w:r>
          </w:p>
        </w:tc>
      </w:tr>
      <w:tr>
        <w:trPr>
          <w:trHeight w:val="285" w:hRule="exact"/>
        </w:trPr>
        <w:tc>
          <w:tcPr>
            <w:tcW w:w="10395"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6. Ответственность Сторон</w:t>
            </w:r>
          </w:p>
        </w:tc>
      </w:tr>
      <w:tr>
        <w:trPr>
          <w:trHeight w:val="51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6.1. Любая из Сторон настоящего договора, не исполнившая обязательства по договору или исполнившая их ненадлежащим образом, несет ответственность за упомянутое при наличии вины (умысла или неосторожности).</w:t>
            </w:r>
          </w:p>
        </w:tc>
      </w:tr>
      <w:tr>
        <w:trPr>
          <w:trHeight w:val="52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6.2. Отсутствие вины за неисполнение или ненадлежащее исполнение обязательств по договору доказывается Стороной, нарушившей обязательства.</w:t>
            </w:r>
          </w:p>
        </w:tc>
      </w:tr>
      <w:tr>
        <w:trPr>
          <w:trHeight w:val="222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6.3. Сторона, не исполнившая или ненадлежащим образом исполнившая свои обязательства по договору при выполнении его условий, несет ответственность, если не докажет, что надлежащее исполнение обязательств оказалось невозможным вследствие непреодолимой силы (форс-мажор), т. е. чрезвычайных и непредотвратимых обстоятельств при конкретных условиях конкретного периода времени. К обстоятельствам непреодолимой силы Стороны настоящего договора отнесли такие: явления стихийного характера (землетрясение, наводнение, удар молнии, извержение вулкана, сель, оползень, цунами и т. п.), температуру, силу ветра и уровень осадков в месте исполнения обязательств по договору, исключающих для человека нормальную жизнедеятельность; мораторий органов власти и управления; забастовки, организованные в установленном законом порядке, и другие обстоятельства, которые могут быть определены Сторонами договора как непреодолимая сила для надлежащего исполнения обязательств.</w:t>
            </w:r>
          </w:p>
        </w:tc>
      </w:tr>
      <w:tr>
        <w:trPr>
          <w:trHeight w:val="285" w:hRule="exact"/>
        </w:trPr>
        <w:tc>
          <w:tcPr>
            <w:tcW w:w="10395"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7. Порядок разрешения споров</w:t>
            </w:r>
          </w:p>
        </w:tc>
      </w:tr>
      <w:tr>
        <w:trPr>
          <w:trHeight w:val="54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7.1. Споры, вытекающие из настоящего Договора, подлежат рассмотрению в арбитражном суде в порядке, предусмотренном действующим законодательством РФ.</w:t>
            </w:r>
          </w:p>
        </w:tc>
      </w:tr>
      <w:tr>
        <w:trPr>
          <w:trHeight w:val="285" w:hRule="exact"/>
        </w:trPr>
        <w:tc>
          <w:tcPr>
            <w:tcW w:w="10395"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8. Условия изменения и расторжения договора</w:t>
            </w:r>
          </w:p>
        </w:tc>
      </w:tr>
      <w:tr>
        <w:trPr>
          <w:trHeight w:val="58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8.1. Расторжение настоящего договора осуществляется в порядке, предусмотренном законодательством Российской Федерации, без возврата внесенного задатка.</w:t>
            </w:r>
          </w:p>
        </w:tc>
      </w:tr>
      <w:tr>
        <w:trPr>
          <w:trHeight w:val="76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8.2. Если покупатель в нарушение договора купли-продажи отказывается принять и оплатить товар, продавец вправе по своему выбору потребовать оплаты товара либо отказаться от исполнения договора  (п. 4 ст. 486 Гражданского Кодекса Российской Федерации).</w:t>
              <w:br/>
              <w:t>
</w:t>
            </w:r>
          </w:p>
        </w:tc>
      </w:tr>
      <w:tr>
        <w:trPr>
          <w:trHeight w:val="102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8.3. Право на односторонний отказ от договора (исполнения договора) (статья 310 Гражданского Кодекса Российской Федерации) может быть осуществлено управомоченной стороной путем уведомления другой стороны об отказе от договора (исполнения договора). Договор прекращается с момента получения данного уведомления, если иное не предусмотрено настоящим Кодексом, другими законами, иными правовыми актами или договором.</w:t>
              <w:br/>
              <w:t>
</w:t>
            </w:r>
          </w:p>
        </w:tc>
      </w:tr>
      <w:tr>
        <w:trPr>
          <w:trHeight w:val="78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В случае одностороннего отказа от договора (исполнения договора) полностью или частично, если такой отказ допускается, договор считается расторгнутым или измененным. (пп. 1, 2 Статья 450.1. Гражданского Кодекса Российской Федерации).</w:t>
            </w:r>
          </w:p>
        </w:tc>
      </w:tr>
      <w:tr>
        <w:trPr>
          <w:trHeight w:val="285" w:hRule="exact"/>
        </w:trPr>
        <w:tc>
          <w:tcPr>
            <w:tcW w:w="10395"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9. Заключительные положения</w:t>
            </w:r>
          </w:p>
        </w:tc>
      </w:tr>
      <w:tr>
        <w:trPr>
          <w:trHeight w:val="58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9.1. Настоящий договор вступает в силу с момента его подписания и действует до момента окончания исполнения Сторонами договора своих обязательств по нему.</w:t>
            </w:r>
          </w:p>
        </w:tc>
      </w:tr>
      <w:tr>
        <w:trPr>
          <w:trHeight w:val="30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9.2. Сторонами договора рассмотрены все документы, подготовленные в связи с продажей имущества.</w:t>
            </w:r>
          </w:p>
        </w:tc>
      </w:tr>
      <w:tr>
        <w:trPr>
          <w:trHeight w:val="27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9.3. Настоящий Договор составлен в 2-х экземплярах, имеющих одинаковую юридическую силу.</w:t>
            </w:r>
          </w:p>
        </w:tc>
      </w:tr>
      <w:tr>
        <w:trPr>
          <w:trHeight w:val="99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9.4. По всем вопросам, не нашедшим решения в условиях настоящего договора, но прямо или косвенно вытекающим из отношений Сторон по нему, затрагивающих имущественные интересы и деловую репутацию Сторон настоящего договора, имея в виду необходимости защиты их охраняемых законом прав и интересов, Стороны настоящего договора будут руководствоваться нормами и положениями действующего законодательства Российской Федерации.</w:t>
            </w:r>
          </w:p>
        </w:tc>
      </w:tr>
      <w:tr>
        <w:trPr>
          <w:trHeight w:val="285" w:hRule="exact"/>
        </w:trPr>
        <w:tc>
          <w:tcPr>
            <w:tcW w:w="10395"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10. Реквизиты и подписи Сторон</w:t>
            </w:r>
          </w:p>
        </w:tc>
      </w:tr>
      <w:tr>
        <w:trPr>
          <w:trHeight w:val="285" w:hRule="exact"/>
        </w:trPr>
        <w:tc>
          <w:tcPr>
            <w:tcW w:w="4725" w:type="dxa"/>
            <w:gridSpan w:val="5"/>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Продавец:</w:t>
            </w:r>
          </w:p>
        </w:tc>
        <w:tc>
          <w:tcPr>
            <w:tcW w:w="5670" w:type="dxa"/>
            <w:gridSpan w:val="6"/>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Покупатель:</w:t>
            </w:r>
          </w:p>
        </w:tc>
      </w:tr>
      <w:tr>
        <w:trPr>
          <w:trHeight w:val="285" w:hRule="exact"/>
        </w:trPr>
        <w:tc>
          <w:tcPr>
            <w:tcW w:w="4725" w:type="dxa"/>
            <w:gridSpan w:val="5"/>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Гражданин РФ</w:t>
            </w:r>
          </w:p>
        </w:tc>
        <w:tc>
          <w:tcPr>
            <w:tcW w:w="5670" w:type="dxa"/>
            <w:gridSpan w:val="6"/>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Гражданин РФ</w:t>
            </w:r>
          </w:p>
        </w:tc>
      </w:tr>
      <w:tr>
        <w:trPr>
          <w:trHeight w:val="2415" w:hRule="exact"/>
        </w:trPr>
        <w:tc>
          <w:tcPr>
            <w:tcW w:w="4725" w:type="dxa"/>
            <w:gridSpan w:val="5"/>
            <w:shd w:val="clear" w:color="FFFFFF" w:fill="auto"/>
            <w:textDirection w:val="lrTb"/>
            <w:vAlign w:val="bottom"/>
          </w:tcPr>
          <w:p>
            <w:pPr>
              <w:wordWrap w:val="1"/>
              <w:jc w:val="both"/>
              <w:rPr>
                <w:rFonts w:ascii="Times New Roman" w:hAnsi="Times New Roman"/>
                <w:b/>
                <w:sz w:val="20"/>
                <w:szCs w:val="20"/>
              </w:rPr>
            </w:pPr>
            <w:r>
              <w:rPr>
                <w:rFonts w:ascii="Times New Roman" w:hAnsi="Times New Roman"/>
                <w:b/>
                <w:sz w:val="20"/>
                <w:szCs w:val="20"/>
              </w:rPr>
              <w:t>Бураева Татьяна Сергеевна (Романенко Татьяна Сергеевна, Николаева Татьяна Сергеевна) (12.08.1984г.р., место рожд: пос. Малыгино Ковровский район Владимирская область, адрес рег: 601962, Владимирская обл, Ковровский р-н, Малыгино п, Юбилейная ул, дом № 63, квартира 42, СНИЛС12245796054, ИНН 331781272808, паспорт РФ серия 1714, номер 370627, выдан 02.09.2014, кем выдан МРО УФМС России по Владимирской области в г. Коврове, код подразделения 330-024)</w:t>
            </w:r>
          </w:p>
        </w:tc>
        <w:tc>
          <w:tcPr>
            <w:tcW w:w="5670" w:type="dxa"/>
            <w:gridSpan w:val="6"/>
            <w:vMerge w:val="restart"/>
            <w:shd w:val="clear" w:color="FFFFFF" w:fill="auto"/>
            <w:textDirection w:val="lrTb"/>
            <w:vAlign w:val="top"/>
          </w:tcPr>
          <w:p>
            <w:pPr>
              <w:wordWrap w:val="1"/>
              <w:jc w:val="both"/>
              <w:rPr>
                <w:rFonts w:ascii="Times New Roman" w:hAnsi="Times New Roman"/>
                <w:b/>
                <w:sz w:val="20"/>
                <w:szCs w:val="20"/>
              </w:rPr>
            </w:pPr>
          </w:p>
        </w:tc>
      </w:tr>
      <w:tr>
        <w:trPr>
          <w:trHeight w:val="300" w:hRule="exact"/>
        </w:trPr>
        <w:tc>
          <w:tcPr>
            <w:tcW w:w="4725" w:type="dxa"/>
            <w:gridSpan w:val="5"/>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Реквизиты</w:t>
            </w:r>
          </w:p>
        </w:tc>
        <w:tc>
          <w:tcPr>
            <w:tcW w:w="5670" w:type="dxa"/>
            <w:gridSpan w:val="6"/>
            <w:vMerge w:val="continue"/>
            <w:shd w:val="clear" w:color="FFFFFF" w:fill="auto"/>
            <w:textDirection w:val="lrTb"/>
            <w:vAlign w:val="top"/>
          </w:tcPr>
          <w:p>
            <w:pPr>
              <w:wordWrap w:val="1"/>
              <w:jc w:val="both"/>
              <w:rPr>
                <w:rFonts w:ascii="Times New Roman" w:hAnsi="Times New Roman"/>
                <w:b/>
                <w:sz w:val="20"/>
                <w:szCs w:val="20"/>
              </w:rPr>
            </w:pPr>
          </w:p>
        </w:tc>
      </w:tr>
      <w:tr>
        <w:trPr>
          <w:trHeight w:val="495" w:hRule="exact"/>
        </w:trPr>
        <w:tc>
          <w:tcPr>
            <w:tcW w:w="4725" w:type="dxa"/>
            <w:gridSpan w:val="5"/>
            <w:shd w:val="clear" w:color="FFFFFF" w:fill="auto"/>
            <w:textDirection w:val="lrTb"/>
            <w:vAlign w:val="bottom"/>
          </w:tcPr>
          <w:p>
            <w:pPr>
              <w:wordWrap w:val="1"/>
              <w:jc w:val="left"/>
              <w:rPr>
                <w:rFonts w:ascii="Times New Roman" w:hAnsi="Times New Roman"/>
                <w:sz w:val="20"/>
                <w:szCs w:val="20"/>
              </w:rPr>
            </w:pPr>
            <w:r>
              <w:rPr>
                <w:rFonts w:ascii="Times New Roman" w:hAnsi="Times New Roman"/>
                <w:sz w:val="20"/>
                <w:szCs w:val="20"/>
              </w:rPr>
              <w:t>Арбитражный управляющий Черных Анастасия Владимировна (ИНН 741855182997)</w:t>
            </w:r>
          </w:p>
        </w:tc>
        <w:tc>
          <w:tcPr>
            <w:tcW w:w="5670" w:type="dxa"/>
            <w:gridSpan w:val="6"/>
            <w:vMerge w:val="continue"/>
            <w:shd w:val="clear" w:color="FFFFFF" w:fill="auto"/>
            <w:textDirection w:val="lrTb"/>
            <w:vAlign w:val="top"/>
          </w:tcPr>
          <w:p>
            <w:pPr>
              <w:wordWrap w:val="1"/>
              <w:jc w:val="both"/>
              <w:rPr>
                <w:rFonts w:ascii="Times New Roman" w:hAnsi="Times New Roman"/>
                <w:b/>
                <w:sz w:val="20"/>
                <w:szCs w:val="20"/>
              </w:rPr>
            </w:pPr>
          </w:p>
        </w:tc>
      </w:tr>
      <w:tr>
        <w:trPr>
          <w:trHeight w:val="1215" w:hRule="exact"/>
        </w:trPr>
        <w:tc>
          <w:tcPr>
            <w:tcW w:w="4725" w:type="dxa"/>
            <w:gridSpan w:val="5"/>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Р/СЧ 40802810272000080172</w:t>
              <w:br/>
              <w:t>
БИК 047501602</w:t>
              <w:br/>
              <w:t>
КР/СЧ 30101810700000000602</w:t>
              <w:br/>
              <w:t>
НАИМЕНОВАНИЕ БАНКА ЧЕЛЯБИНСКОЕ ОСБ N 8597</w:t>
            </w:r>
          </w:p>
        </w:tc>
        <w:tc>
          <w:tcPr>
            <w:tcW w:w="5670" w:type="dxa"/>
            <w:gridSpan w:val="6"/>
            <w:vMerge w:val="continue"/>
            <w:shd w:val="clear" w:color="FFFFFF" w:fill="auto"/>
            <w:textDirection w:val="lrTb"/>
            <w:vAlign w:val="top"/>
          </w:tcPr>
          <w:p>
            <w:pPr>
              <w:wordWrap w:val="1"/>
              <w:jc w:val="both"/>
              <w:rPr>
                <w:rFonts w:ascii="Times New Roman" w:hAnsi="Times New Roman"/>
                <w:b/>
                <w:sz w:val="20"/>
                <w:szCs w:val="20"/>
              </w:rPr>
            </w:pPr>
          </w:p>
        </w:tc>
      </w:tr>
      <w:tr>
        <w:trPr>
          <w:trHeight w:val="300" w:hRule="exact"/>
        </w:trPr>
        <w:tc>
          <w:tcPr>
            <w:tcW w:w="945" w:type="dxa"/>
            <w:shd w:val="clear" w:color="FFFFFF" w:fill="auto"/>
            <w:textDirection w:val="lrTb"/>
            <w:vAlign w:val="bottom"/>
          </w:tcPr>
          <w:p>
            <w:pPr>
              <w:wordWrap w:val="1"/>
              <w:jc w:val="both"/>
              <w:rPr>
                <w:rFonts w:ascii="Times New Roman" w:hAnsi="Times New Roman"/>
                <w:sz w:val="20"/>
                <w:szCs w:val="20"/>
              </w:rPr>
            </w:pPr>
          </w:p>
        </w:tc>
        <w:tc>
          <w:tcPr>
            <w:tcW w:w="945" w:type="dxa"/>
            <w:shd w:val="clear" w:color="FFFFFF" w:fill="auto"/>
            <w:textDirection w:val="lrTb"/>
            <w:vAlign w:val="bottom"/>
          </w:tcPr>
          <w:p>
            <w:pPr>
              <w:wordWrap w:val="1"/>
              <w:jc w:val="both"/>
              <w:rPr>
                <w:rFonts w:ascii="Times New Roman" w:hAnsi="Times New Roman"/>
                <w:sz w:val="20"/>
                <w:szCs w:val="20"/>
              </w:rPr>
            </w:pPr>
          </w:p>
        </w:tc>
        <w:tc>
          <w:tcPr>
            <w:tcW w:w="945" w:type="dxa"/>
            <w:shd w:val="clear" w:color="FFFFFF" w:fill="auto"/>
            <w:textDirection w:val="lrTb"/>
            <w:vAlign w:val="bottom"/>
          </w:tcPr>
          <w:p>
            <w:pPr>
              <w:wordWrap w:val="1"/>
              <w:jc w:val="both"/>
              <w:rPr>
                <w:rFonts w:ascii="Times New Roman" w:hAnsi="Times New Roman"/>
                <w:sz w:val="20"/>
                <w:szCs w:val="20"/>
              </w:rPr>
            </w:pPr>
          </w:p>
        </w:tc>
        <w:tc>
          <w:tcPr>
            <w:tcW w:w="945" w:type="dxa"/>
            <w:shd w:val="clear" w:color="FFFFFF" w:fill="auto"/>
            <w:textDirection w:val="lrTb"/>
            <w:vAlign w:val="bottom"/>
          </w:tcPr>
          <w:p>
            <w:pPr>
              <w:wordWrap w:val="1"/>
              <w:jc w:val="both"/>
              <w:rPr>
                <w:rFonts w:ascii="Times New Roman" w:hAnsi="Times New Roman"/>
                <w:sz w:val="20"/>
                <w:szCs w:val="20"/>
              </w:rPr>
            </w:pPr>
          </w:p>
        </w:tc>
        <w:tc>
          <w:tcPr>
            <w:tcW w:w="945" w:type="dxa"/>
            <w:shd w:val="clear" w:color="FFFFFF" w:fill="auto"/>
            <w:textDirection w:val="lrTb"/>
            <w:vAlign w:val="bottom"/>
          </w:tcPr>
          <w:p>
            <w:pPr>
              <w:wordWrap w:val="1"/>
              <w:jc w:val="both"/>
              <w:rPr>
                <w:rFonts w:ascii="Times New Roman" w:hAnsi="Times New Roman"/>
                <w:sz w:val="20"/>
                <w:szCs w:val="20"/>
              </w:rPr>
            </w:pPr>
          </w:p>
        </w:tc>
        <w:tc>
          <w:tcPr>
            <w:tcW w:w="5670" w:type="dxa"/>
            <w:gridSpan w:val="6"/>
            <w:vMerge w:val="continue"/>
            <w:shd w:val="clear" w:color="FFFFFF" w:fill="auto"/>
            <w:textDirection w:val="lrTb"/>
            <w:vAlign w:val="top"/>
          </w:tcPr>
          <w:p>
            <w:pPr>
              <w:wordWrap w:val="1"/>
              <w:jc w:val="both"/>
              <w:rPr>
                <w:rFonts w:ascii="Times New Roman" w:hAnsi="Times New Roman"/>
                <w:b/>
                <w:sz w:val="20"/>
                <w:szCs w:val="20"/>
              </w:rPr>
            </w:pPr>
          </w:p>
        </w:tc>
      </w:tr>
      <w:tr>
        <w:trPr>
          <w:trHeight w:val="300" w:hRule="exact"/>
        </w:trPr>
        <w:tc>
          <w:tcPr>
            <w:tcW w:w="4725" w:type="dxa"/>
            <w:gridSpan w:val="5"/>
            <w:shd w:val="clear" w:color="FFFFFF" w:fill="auto"/>
            <w:textDirection w:val="lrTb"/>
            <w:vAlign w:val="bottom"/>
          </w:tcPr>
          <w:p>
            <w:pPr>
              <w:wordWrap w:val="1"/>
              <w:jc w:val="both"/>
              <w:rPr>
                <w:rFonts w:ascii="Times New Roman" w:hAnsi="Times New Roman"/>
                <w:b/>
                <w:sz w:val="20"/>
                <w:szCs w:val="20"/>
              </w:rPr>
            </w:pPr>
            <w:r>
              <w:rPr>
                <w:rFonts w:ascii="Times New Roman" w:hAnsi="Times New Roman"/>
                <w:b/>
                <w:sz w:val="20"/>
                <w:szCs w:val="20"/>
              </w:rPr>
              <w:t>Финансовый управляющий</w:t>
            </w:r>
          </w:p>
        </w:tc>
        <w:tc>
          <w:tcPr>
            <w:tcW w:w="5670" w:type="dxa"/>
            <w:gridSpan w:val="6"/>
            <w:vMerge w:val="continue"/>
            <w:shd w:val="clear" w:color="FFFFFF" w:fill="auto"/>
            <w:textDirection w:val="lrTb"/>
            <w:vAlign w:val="top"/>
          </w:tcPr>
          <w:p>
            <w:pPr>
              <w:wordWrap w:val="1"/>
              <w:jc w:val="both"/>
              <w:rPr>
                <w:rFonts w:ascii="Times New Roman" w:hAnsi="Times New Roman"/>
                <w:b/>
                <w:sz w:val="20"/>
                <w:szCs w:val="20"/>
              </w:rPr>
            </w:pPr>
          </w:p>
        </w:tc>
      </w:tr>
      <w:tr>
        <w:trPr>
          <w:trHeight w:val="300" w:hRule="exact"/>
        </w:trPr>
        <w:tc>
          <w:tcPr>
            <w:tcW w:w="4725" w:type="dxa"/>
            <w:gridSpan w:val="5"/>
            <w:shd w:val="clear" w:color="FFFFFF" w:fill="auto"/>
            <w:textDirection w:val="lrTb"/>
            <w:vAlign w:val="bottom"/>
          </w:tcPr>
          <w:p>
            <w:pPr>
              <w:wordWrap w:val="1"/>
              <w:jc w:val="both"/>
              <w:rPr>
                <w:rFonts w:ascii="Times New Roman" w:hAnsi="Times New Roman"/>
                <w:b/>
                <w:sz w:val="20"/>
                <w:szCs w:val="20"/>
              </w:rPr>
            </w:pPr>
            <w:r>
              <w:rPr>
                <w:rFonts w:ascii="Times New Roman" w:hAnsi="Times New Roman"/>
                <w:b/>
                <w:sz w:val="20"/>
                <w:szCs w:val="20"/>
              </w:rPr>
              <w:t>Бураевой Татьяны Сергеевны</w:t>
            </w:r>
          </w:p>
        </w:tc>
        <w:tc>
          <w:tcPr>
            <w:tcW w:w="945" w:type="dxa"/>
            <w:shd w:val="clear" w:color="FFFFFF" w:fill="auto"/>
            <w:textDirection w:val="lrTb"/>
            <w:vAlign w:val="top"/>
          </w:tcPr>
          <w:p>
            <w:pPr>
              <w:wordWrap w:val="1"/>
              <w:jc w:val="both"/>
              <w:rPr>
                <w:rFonts w:ascii="Times New Roman" w:hAnsi="Times New Roman"/>
                <w:b/>
                <w:sz w:val="20"/>
                <w:szCs w:val="20"/>
              </w:rPr>
            </w:pPr>
          </w:p>
        </w:tc>
        <w:tc>
          <w:tcPr>
            <w:tcW w:w="945" w:type="dxa"/>
            <w:shd w:val="clear" w:color="FFFFFF" w:fill="auto"/>
            <w:textDirection w:val="lrTb"/>
            <w:vAlign w:val="top"/>
          </w:tcPr>
          <w:p>
            <w:pPr>
              <w:wordWrap w:val="1"/>
              <w:jc w:val="both"/>
              <w:rPr>
                <w:rFonts w:ascii="Times New Roman" w:hAnsi="Times New Roman"/>
                <w:b/>
                <w:sz w:val="20"/>
                <w:szCs w:val="20"/>
              </w:rPr>
            </w:pPr>
          </w:p>
        </w:tc>
        <w:tc>
          <w:tcPr>
            <w:tcW w:w="945" w:type="dxa"/>
            <w:shd w:val="clear" w:color="FFFFFF" w:fill="auto"/>
            <w:textDirection w:val="lrTb"/>
            <w:vAlign w:val="top"/>
          </w:tcPr>
          <w:p>
            <w:pPr>
              <w:wordWrap w:val="1"/>
              <w:jc w:val="both"/>
              <w:rPr>
                <w:rFonts w:ascii="Times New Roman" w:hAnsi="Times New Roman"/>
                <w:b/>
                <w:sz w:val="20"/>
                <w:szCs w:val="20"/>
              </w:rPr>
            </w:pPr>
          </w:p>
        </w:tc>
        <w:tc>
          <w:tcPr>
            <w:tcW w:w="945" w:type="dxa"/>
            <w:shd w:val="clear" w:color="FFFFFF" w:fill="auto"/>
            <w:textDirection w:val="lrTb"/>
            <w:vAlign w:val="top"/>
          </w:tcPr>
          <w:p>
            <w:pPr>
              <w:wordWrap w:val="1"/>
              <w:jc w:val="both"/>
              <w:rPr>
                <w:rFonts w:ascii="Times New Roman" w:hAnsi="Times New Roman"/>
                <w:b/>
                <w:sz w:val="20"/>
                <w:szCs w:val="20"/>
              </w:rPr>
            </w:pPr>
          </w:p>
        </w:tc>
        <w:tc>
          <w:tcPr>
            <w:tcW w:w="945" w:type="dxa"/>
            <w:shd w:val="clear" w:color="FFFFFF" w:fill="auto"/>
            <w:textDirection w:val="lrTb"/>
            <w:vAlign w:val="top"/>
          </w:tcPr>
          <w:p>
            <w:pPr>
              <w:wordWrap w:val="1"/>
              <w:jc w:val="both"/>
              <w:rPr>
                <w:rFonts w:ascii="Times New Roman" w:hAnsi="Times New Roman"/>
                <w:b/>
                <w:sz w:val="20"/>
                <w:szCs w:val="20"/>
              </w:rPr>
            </w:pPr>
          </w:p>
        </w:tc>
        <w:tc>
          <w:tcPr>
            <w:tcW w:w="945" w:type="dxa"/>
            <w:shd w:val="clear" w:color="FFFFFF" w:fill="auto"/>
            <w:textDirection w:val="lrTb"/>
            <w:vAlign w:val="top"/>
          </w:tcPr>
          <w:p>
            <w:pPr>
              <w:wordWrap w:val="1"/>
              <w:jc w:val="both"/>
              <w:rPr>
                <w:rFonts w:ascii="Times New Roman" w:hAnsi="Times New Roman"/>
                <w:b/>
                <w:sz w:val="20"/>
                <w:szCs w:val="20"/>
              </w:rPr>
            </w:pPr>
          </w:p>
        </w:tc>
      </w:tr>
      <w:tr>
        <w:trPr>
          <w:trHeight w:val="300" w:hRule="exact"/>
        </w:trPr>
        <w:tc>
          <w:tcPr>
            <w:tcW w:w="4725" w:type="dxa"/>
            <w:gridSpan w:val="5"/>
            <w:shd w:val="clear" w:color="FFFFFF" w:fill="auto"/>
            <w:textDirection w:val="lrTb"/>
            <w:vAlign w:val="bottom"/>
          </w:tcPr>
          <w:p>
            <w:pPr>
              <w:wordWrap w:val="1"/>
              <w:jc w:val="both"/>
              <w:rPr>
                <w:rFonts w:ascii="Times New Roman" w:hAnsi="Times New Roman"/>
                <w:b/>
                <w:sz w:val="20"/>
                <w:szCs w:val="20"/>
              </w:rPr>
            </w:pPr>
            <w:r>
              <w:rPr>
                <w:rFonts w:ascii="Times New Roman" w:hAnsi="Times New Roman"/>
                <w:b/>
                <w:sz w:val="20"/>
                <w:szCs w:val="20"/>
              </w:rPr>
              <w:t>Черных Анастасия Владимировна</w:t>
            </w:r>
          </w:p>
        </w:tc>
        <w:tc>
          <w:tcPr>
            <w:tcW w:w="2835" w:type="dxa"/>
            <w:gridSpan w:val="3"/>
            <w:shd w:val="clear" w:color="FFFFFF" w:fill="auto"/>
            <w:textDirection w:val="lrTb"/>
            <w:vAlign w:val="bottom"/>
          </w:tcPr>
          <w:p>
            <w:pPr>
              <w:wordWrap w:val="1"/>
              <w:jc w:val="both"/>
              <w:rPr>
                <w:rFonts w:ascii="Times New Roman" w:hAnsi="Times New Roman"/>
                <w:b/>
                <w:sz w:val="20"/>
                <w:szCs w:val="20"/>
              </w:rPr>
            </w:pPr>
          </w:p>
        </w:tc>
        <w:tc>
          <w:tcPr>
            <w:tcW w:w="2835" w:type="dxa"/>
            <w:gridSpan w:val="3"/>
            <w:shd w:val="clear" w:color="FFFFFF" w:fill="auto"/>
            <w:textDirection w:val="lrTb"/>
            <w:vAlign w:val="bottom"/>
          </w:tcPr>
          <w:p>
            <w:pPr>
              <w:wordWrap w:val="1"/>
              <w:jc w:val="both"/>
              <w:rPr>
                <w:rFonts w:ascii="Times New Roman" w:hAnsi="Times New Roman"/>
                <w:sz w:val="20"/>
                <w:szCs w:val="20"/>
              </w:rPr>
            </w:pPr>
          </w:p>
        </w:tc>
      </w:tr>
    </w:tbl>
    <w:sectPr>
      <w:pgSz w:w="11907" w:h="16839" w:orient="portrait"/>
      <w:pgMar w:top="567" w:right="567" w:bottom="567" w:left="567"/>
    </w:sectPr>
  </w:body>
</w:document>
</file>

<file path=word/settings.xml><?xml version="1.0" encoding="utf-8"?>
<w:settings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view w:val="normal"/>
  <w:zoom w:percent="100"/>
</w:settings>
</file>

<file path=word/styles.xml><?xml version="1.0" encoding="utf-8"?>
<w:styles xmlns:r="http://schemas.openxmlformats.org/officeDocument/2006/relationships" xmlns:w="http://schemas.openxmlformats.org/wordprocessingml/2006/main">
  <w:style w:type="table" w:styleId="TableStyle0">
    <w:name w:val="TableStyle0"/>
    <w:pPr>
      <w:spacing w:after="0" w:line="240" w:lineRule="auto"/>
    </w:pPr>
    <w:rPr>
      <w:rFonts w:ascii="Arial" w:hAnsi="Arial"/>
      <w:sz w:val="16"/>
    </w:rPr>
  </w:style>
</w:styles>
</file>

<file path=word/_rels/document.xml.rels>&#65279;<?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8" Type="http://schemas.openxmlformats.org/officeDocument/2006/relationships/header" Target="header1.xml"/>
	<Relationship Id="rId9" Type="http://schemas.openxmlformats.org/officeDocument/2006/relationships/footer" Target="footer1.xml"/>
	<Relationship Id="rId10" Type="http://schemas.openxmlformats.org/officeDocument/2006/relationships/header" Target="header2.xml"/>
	<Relationship Id="rId11" Type="http://schemas.openxmlformats.org/officeDocument/2006/relationships/footer" Target="footer2.xml"/>
</Relationships>
</file>