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Гавриленко Светлана Сергеевна (Браздникова Светлана Сергеевна) (05.04.1982г.р., место рожд: пос. Юность Щелковского р-на Московской обл, адрес рег: 141100, Московская обл, Щелковский р-н, Биокомбината пос., дом № 30, помещение 24, СНИЛС11038667030, ИНН 505006554488, паспорт РФ серия 4607, номер 366016, выдан 01.11.2006, кем выдан Свердловским ГОМ Щелковского района Московской области, код подразделения 503-018), в лице Гражданина РФ Финансового управляющего Стояна Романа Сергеевича (ИНН 745310520162, СНИЛС 13615578971, рег.номер 20005), действующего на основании решения Арбитражного суда Московской области от 21.09.2022г. по делу №А41-37469/2022,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21.07.2023г. по продаже имущества Гавриленко Светланы Сергеевны,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(ВАЗ) LADA, модель: VESTA GFК110, VIN: XTAGFK110NY599579, год изготовления: 2021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ООО "ИКОИ" (ИНН 7719446380,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21.07.2023г.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Стоян Роман Сергеевич (ИНН 745310520162)</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Гавриленко Светлана Сергеевна (Браздникова Светлана Сергеевна) (05.04.1982г.р., место рожд: пос. Юность Щелковского р-на Московской обл, адрес рег: 141100, Московская обл, Щелковский р-н, Биокомбината пос., дом № 30, помещение 24, СНИЛС11038667030, ИНН 505006554488, паспорт РФ серия 4607, номер 366016, выдан 01.11.2006, кем выдан Свердловским ГОМ Щелковского района Московской области, код подразделения 503-018)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Стоян Роман Сергеевич (ИНН 745310520162)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Гавриленко Светланы Сергеевны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Стоян Роман Сергеевич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