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24.05.2023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Денисов Анатолий Юрьевич (10.08.1988г.р., место рожд: город Легница, адрес рег: 423814, Татарстан Респ, Набережные Челны г, Московский пр-кт, дом № 79А, блок А, квартира 56, СНИЛС17122128928, ИНН 164908361592, паспорт РФ серия 9208, номер 606143, выдан 05.02.2009, кем выдан ОТДЕЛОМ УФМС РОССИИ ПО РЕСПУБЛИКЕ ТАТАРСТАН В ЛЕНИНОГОРСКОМ РАЙОНЕ, код подразделения 160-029),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Татарстан от 22.11.2022г. по делу №А65-26851/2022,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03.07.2023г. по продаже имущества Денисова Анатолия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МАЗДА 6, модель: МАЗДА 6, VIN: JMZGH148211456564, год изготовления: 2011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1.2. Транспортное средство принадлежит супругу Продавца (Денисовой Регине Мингалямовне)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03.07.2023г.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Шуховцев Алексей Алексеевич (ИНН 745303758710)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Денисов Анатолий Юрьевич (10.08.1988г.р., место рожд: город Легница, адрес рег: 423814, Татарстан Респ, Набережные Челны г, Московский пр-кт, дом № 79А, блок А, квартира 56, СНИЛС17122128928, ИНН 164908361592, паспорт РФ серия 9208, номер 606143, выдан 05.02.2009, кем выдан ОТДЕЛОМ УФМС РОССИИ ПО РЕСПУБЛИКЕ ТАТАРСТАН В ЛЕНИНОГОРСКОМ РАЙОНЕ, код подразделения 160-029)</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Шуховцев Алексей Алексеевич (ИНН 745303758710)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Денисова Анатолия Юрьевича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