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contextualSpacing/>
        <w:ind w:firstLine="567"/>
        <w:jc w:val="center"/>
        <w:spacing w:before="240" w:after="6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</w:t>
      </w:r>
      <w:r/>
    </w:p>
    <w:p>
      <w:pPr>
        <w:pStyle w:val="812"/>
        <w:contextualSpacing/>
        <w:ind w:firstLine="567"/>
        <w:jc w:val="center"/>
        <w:spacing w:before="240" w:after="6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внесении задатка на участие в торгах </w:t>
      </w:r>
      <w:r/>
    </w:p>
    <w:p>
      <w:pPr>
        <w:pStyle w:val="811"/>
        <w:contextualSpacing/>
        <w:ind w:right="8787" w:firstLine="0"/>
        <w:spacing w:before="0" w:after="0" w:line="276" w:lineRule="auto"/>
        <w:tabs>
          <w:tab w:val="left" w:pos="0" w:leader="none"/>
          <w:tab w:val="clear" w:pos="720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  <w:r/>
    </w:p>
    <w:p>
      <w:pPr>
        <w:pStyle w:val="811"/>
        <w:contextualSpacing/>
        <w:ind w:firstLine="426"/>
        <w:spacing w:before="0" w:after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 </w:t>
      </w:r>
      <w:r>
        <w:rPr>
          <w:b/>
          <w:sz w:val="22"/>
          <w:szCs w:val="22"/>
          <w:highlight w:val="yellow"/>
        </w:rPr>
        <w:t xml:space="preserve">________</w:t>
      </w:r>
      <w:r>
        <w:rPr>
          <w:b/>
          <w:sz w:val="22"/>
          <w:szCs w:val="22"/>
        </w:rPr>
        <w:tab/>
        <w:t xml:space="preserve">                                  </w:t>
        <w:tab/>
        <w:t xml:space="preserve">                                  </w:t>
      </w:r>
      <w:r>
        <w:rPr>
          <w:b/>
          <w:sz w:val="22"/>
          <w:szCs w:val="22"/>
          <w:highlight w:val="yellow"/>
        </w:rPr>
        <w:t xml:space="preserve">_______________________________</w:t>
      </w:r>
      <w:r/>
    </w:p>
    <w:p>
      <w:pPr>
        <w:pStyle w:val="811"/>
        <w:contextualSpacing/>
        <w:ind w:firstLine="709"/>
        <w:jc w:val="both"/>
        <w:spacing w:before="0" w:after="0" w:line="276" w:lineRule="auto"/>
        <w:tabs>
          <w:tab w:val="clear" w:pos="720" w:leader="none"/>
          <w:tab w:val="left" w:pos="623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/>
    </w:p>
    <w:p>
      <w:pPr>
        <w:pStyle w:val="811"/>
        <w:contextualSpacing/>
        <w:spacing w:before="0" w:after="0" w:line="276" w:lineRule="auto"/>
        <w:tabs>
          <w:tab w:val="right" w:pos="0" w:leader="none"/>
          <w:tab w:val="clear" w:pos="720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11"/>
        <w:contextualSpacing/>
        <w:ind w:firstLine="426"/>
        <w:jc w:val="both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ООО "Нова" в лице конкурсного управляющего Максютова Дениса Петровича, далее именуемый Продавец, действующего на основании Решения Арбитражного суда Оренбургской области от 31.01.2022 по делу № А47-15041/21, с одной стороны, </w:t>
      </w:r>
      <w:r/>
    </w:p>
    <w:p>
      <w:pPr>
        <w:pStyle w:val="811"/>
        <w:contextualSpacing/>
        <w:ind w:firstLine="426"/>
        <w:jc w:val="both"/>
        <w:spacing w:before="0" w:after="0"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и </w:t>
      </w:r>
      <w:r>
        <w:rPr>
          <w:sz w:val="22"/>
          <w:szCs w:val="22"/>
          <w:highlight w:val="yellow"/>
        </w:rPr>
        <w:t xml:space="preserve">_______________</w:t>
      </w:r>
      <w:r>
        <w:rPr>
          <w:sz w:val="22"/>
          <w:szCs w:val="22"/>
        </w:rPr>
        <w:t xml:space="preserve"> далее именуемый Покупатель, в лице </w:t>
      </w:r>
      <w:r>
        <w:rPr>
          <w:sz w:val="22"/>
          <w:szCs w:val="22"/>
          <w:highlight w:val="yellow"/>
        </w:rPr>
        <w:t xml:space="preserve">_________________</w:t>
      </w:r>
      <w:r>
        <w:rPr>
          <w:sz w:val="22"/>
          <w:szCs w:val="22"/>
        </w:rPr>
        <w:t xml:space="preserve"> действующего на</w:t>
      </w:r>
      <w:r>
        <w:rPr>
          <w:color w:val="000000"/>
          <w:sz w:val="22"/>
          <w:szCs w:val="22"/>
        </w:rPr>
        <w:t xml:space="preserve"> основании </w:t>
      </w:r>
      <w:r>
        <w:rPr>
          <w:color w:val="000000"/>
          <w:sz w:val="22"/>
          <w:szCs w:val="22"/>
          <w:highlight w:val="yellow"/>
        </w:rPr>
        <w:t xml:space="preserve">_________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 другой стороны, совместно именуемые в дальнейшем Стороны, заключили настоящий договор о нижеследующем:</w:t>
      </w:r>
      <w:r/>
    </w:p>
    <w:p>
      <w:pPr>
        <w:pStyle w:val="811"/>
        <w:contextualSpacing/>
        <w:jc w:val="both"/>
        <w:spacing w:before="0" w:after="0" w:line="276" w:lineRule="auto"/>
        <w:tabs>
          <w:tab w:val="left" w:pos="426" w:leader="none"/>
          <w:tab w:val="clear" w:pos="72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1. Для участия в торгах по покупке имущества ООО «Нова» Претендент вносит задаток в размере </w:t>
      </w:r>
      <w:r>
        <w:rPr>
          <w:sz w:val="22"/>
          <w:szCs w:val="22"/>
          <w:highlight w:val="yellow"/>
        </w:rPr>
        <w:t xml:space="preserve">_____</w:t>
      </w:r>
      <w:r>
        <w:rPr>
          <w:sz w:val="22"/>
          <w:szCs w:val="22"/>
        </w:rPr>
        <w:t xml:space="preserve">  рублей, что составляет 10 % цены продажи имущества.</w:t>
      </w:r>
      <w:r/>
    </w:p>
    <w:p>
      <w:pPr>
        <w:pStyle w:val="811"/>
        <w:contextualSpacing/>
        <w:jc w:val="both"/>
        <w:spacing w:before="0" w:after="0" w:line="276" w:lineRule="auto"/>
        <w:tabs>
          <w:tab w:val="left" w:pos="426" w:leader="none"/>
          <w:tab w:val="clear" w:pos="720" w:leader="none"/>
        </w:tabs>
      </w:pPr>
      <w:r>
        <w:rPr>
          <w:sz w:val="22"/>
          <w:szCs w:val="22"/>
        </w:rPr>
        <w:tab/>
        <w:t xml:space="preserve">2. Сумма задатка вносится в счет обеспечения обязательств Претен</w:t>
      </w:r>
      <w:r>
        <w:rPr>
          <w:sz w:val="22"/>
          <w:szCs w:val="22"/>
        </w:rPr>
        <w:t xml:space="preserve">дента, связанных с участием в торгах, в том числе по оплате приобретенного имущества, в случае признания Претендента победителем торгов на условиях Положения о порядке, сроках и условиях продажи имущества, заявки на участие в торгах, поданной Претендентом.</w:t>
      </w:r>
      <w:r/>
    </w:p>
    <w:p>
      <w:pPr>
        <w:pStyle w:val="811"/>
        <w:contextualSpacing/>
        <w:jc w:val="both"/>
        <w:spacing w:before="0" w:after="0" w:line="276" w:lineRule="auto"/>
        <w:tabs>
          <w:tab w:val="left" w:pos="426" w:leader="none"/>
          <w:tab w:val="clear" w:pos="720" w:leader="none"/>
        </w:tabs>
      </w:pPr>
      <w:r>
        <w:rPr>
          <w:sz w:val="22"/>
          <w:szCs w:val="22"/>
        </w:rPr>
        <w:tab/>
        <w:t xml:space="preserve">3. Претендент перечисляет или вносит задаток в срок, обеспечивающий поступление средств, не позднее срока окончания приема заявок на участие в торгах. На денежные средства, переданные по настоящему договору, проценты не начисляются.</w:t>
      </w:r>
      <w:r/>
    </w:p>
    <w:p>
      <w:pPr>
        <w:pStyle w:val="811"/>
        <w:contextualSpacing/>
        <w:jc w:val="both"/>
        <w:spacing w:before="0" w:after="0" w:line="276" w:lineRule="auto"/>
        <w:tabs>
          <w:tab w:val="left" w:pos="0" w:leader="none"/>
          <w:tab w:val="left" w:pos="426" w:leader="none"/>
          <w:tab w:val="clear" w:pos="72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4. Победитель торгов обязан заключить (подписать) договор купли-продажи не позднее 5 дней с даты получения от конкурсного управляющего предложения заключить указанный договор.</w:t>
      </w:r>
      <w:r/>
    </w:p>
    <w:p>
      <w:pPr>
        <w:pStyle w:val="811"/>
        <w:contextualSpacing/>
        <w:jc w:val="both"/>
        <w:spacing w:before="0" w:after="0" w:line="276" w:lineRule="auto"/>
        <w:tabs>
          <w:tab w:val="left" w:pos="426" w:leader="none"/>
          <w:tab w:val="clear" w:pos="720" w:leader="none"/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5. Документом, подтверждающим поступление задатка для участия в торгах, является выписка со счета ООО «Нова».</w:t>
      </w:r>
      <w:r/>
    </w:p>
    <w:p>
      <w:pPr>
        <w:pStyle w:val="811"/>
        <w:contextualSpacing/>
        <w:jc w:val="both"/>
        <w:spacing w:before="0" w:after="0" w:line="276" w:lineRule="auto"/>
        <w:tabs>
          <w:tab w:val="left" w:pos="426" w:leader="none"/>
          <w:tab w:val="clear" w:pos="720" w:leader="none"/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6. В случае признания Претендента победителем торгов по результатам проведения торгов задаток, указанный в п.1. настоящего договора, засчитывается в счёт исполнения обязательств по заключенному договору купли-продажи имущества. </w:t>
      </w:r>
      <w:r/>
    </w:p>
    <w:p>
      <w:pPr>
        <w:pStyle w:val="811"/>
        <w:contextualSpacing/>
        <w:jc w:val="both"/>
        <w:spacing w:before="0" w:after="0" w:line="276" w:lineRule="auto"/>
        <w:tabs>
          <w:tab w:val="left" w:pos="426" w:leader="none"/>
          <w:tab w:val="clear" w:pos="720" w:leader="none"/>
          <w:tab w:val="left" w:pos="1134" w:leader="none"/>
        </w:tabs>
      </w:pPr>
      <w:r>
        <w:rPr>
          <w:sz w:val="22"/>
          <w:szCs w:val="22"/>
        </w:rPr>
        <w:tab/>
        <w:t xml:space="preserve">7. В случае отказа Организатора торгов от проведения торгов задаток возвращается Претенденту в течение 5 (Пять) дней с даты подведения итогов торгов.</w:t>
      </w:r>
      <w:r/>
    </w:p>
    <w:p>
      <w:pPr>
        <w:pStyle w:val="811"/>
        <w:contextualSpacing/>
        <w:jc w:val="both"/>
        <w:spacing w:before="0" w:after="0" w:line="276" w:lineRule="auto"/>
        <w:tabs>
          <w:tab w:val="left" w:pos="426" w:leader="none"/>
          <w:tab w:val="clear" w:pos="720" w:leader="none"/>
          <w:tab w:val="left" w:pos="1134" w:leader="none"/>
        </w:tabs>
      </w:pPr>
      <w:r>
        <w:rPr>
          <w:sz w:val="22"/>
          <w:szCs w:val="22"/>
        </w:rPr>
        <w:tab/>
        <w:t xml:space="preserve">8. В случае признания торгов несостоявшимся Организатор торгов возвращает задаток Претенденту в течение 5 (Пяти) дней с даты подведения итогов торгов.</w:t>
      </w:r>
      <w:r/>
    </w:p>
    <w:p>
      <w:pPr>
        <w:pStyle w:val="811"/>
        <w:contextualSpacing/>
        <w:jc w:val="both"/>
        <w:spacing w:before="0" w:after="0" w:line="276" w:lineRule="auto"/>
        <w:tabs>
          <w:tab w:val="left" w:pos="426" w:leader="none"/>
          <w:tab w:val="clear" w:pos="720" w:leader="none"/>
          <w:tab w:val="left" w:pos="1134" w:leader="none"/>
        </w:tabs>
      </w:pPr>
      <w:r>
        <w:rPr>
          <w:sz w:val="22"/>
          <w:szCs w:val="22"/>
        </w:rPr>
        <w:tab/>
        <w:t xml:space="preserve">9. Задаток подлежит  возврату Претенденту, если он участвовал в торгах, но не выиграл их, в течение 5 (Пяти) дней с даты подведения итогов торгов.</w:t>
      </w:r>
      <w:r/>
    </w:p>
    <w:p>
      <w:pPr>
        <w:pStyle w:val="811"/>
        <w:contextualSpacing/>
        <w:jc w:val="both"/>
        <w:spacing w:before="0" w:after="0" w:line="276" w:lineRule="auto"/>
        <w:tabs>
          <w:tab w:val="left" w:pos="426" w:leader="none"/>
          <w:tab w:val="clear" w:pos="720" w:leader="none"/>
          <w:tab w:val="left" w:pos="1134" w:leader="none"/>
        </w:tabs>
      </w:pPr>
      <w:r>
        <w:rPr>
          <w:sz w:val="22"/>
          <w:szCs w:val="22"/>
        </w:rPr>
        <w:tab/>
        <w:t xml:space="preserve">10. Задаток утрачивается Претендентом, если Претендент, выиграв торги, уклонился от подписания договора купли-продажи имущества в срок, указанный в п. 4 настоящего договора.</w:t>
      </w:r>
      <w:r/>
    </w:p>
    <w:p>
      <w:pPr>
        <w:pStyle w:val="811"/>
        <w:contextualSpacing/>
        <w:jc w:val="both"/>
        <w:spacing w:before="0" w:after="0" w:line="276" w:lineRule="auto"/>
        <w:tabs>
          <w:tab w:val="left" w:pos="426" w:leader="none"/>
          <w:tab w:val="clear" w:pos="720" w:leader="none"/>
          <w:tab w:val="left" w:pos="1134" w:leader="none"/>
        </w:tabs>
      </w:pPr>
      <w:r>
        <w:rPr>
          <w:sz w:val="22"/>
          <w:szCs w:val="22"/>
        </w:rPr>
        <w:tab/>
        <w:t xml:space="preserve">11. Всё, что не предусмотрено прямо в тексте настоящего договора, регулируется действующим законодательством РФ.</w:t>
      </w:r>
      <w:r/>
    </w:p>
    <w:p>
      <w:pPr>
        <w:pStyle w:val="811"/>
        <w:contextualSpacing/>
        <w:ind w:left="426" w:hanging="426"/>
        <w:jc w:val="both"/>
        <w:spacing w:before="0" w:after="0" w:line="276" w:lineRule="auto"/>
      </w:pPr>
      <w:r>
        <w:rPr>
          <w:sz w:val="22"/>
          <w:szCs w:val="22"/>
        </w:rPr>
        <w:tab/>
        <w:t xml:space="preserve">12. Настоящий договор составлен в двух экземплярах по одному для каждой из сторон.</w:t>
      </w:r>
      <w:r/>
    </w:p>
    <w:p>
      <w:pPr>
        <w:pStyle w:val="811"/>
        <w:contextualSpacing/>
        <w:ind w:left="426" w:hanging="426"/>
        <w:jc w:val="both"/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13. Задаток должен быть внесен по реквизитам Организатора торгов, указанным в разделе 14 настоящего Договора, в назначении платежа необходимо указать «Задаток для участия в торгах, по Лоту </w:t>
      </w:r>
      <w:r>
        <w:rPr>
          <w:sz w:val="22"/>
          <w:szCs w:val="22"/>
          <w:highlight w:val="yellow"/>
        </w:rPr>
        <w:t xml:space="preserve">№</w:t>
      </w:r>
      <w:r>
        <w:rPr>
          <w:sz w:val="22"/>
          <w:szCs w:val="22"/>
        </w:rPr>
        <w:t xml:space="preserve">   без НДС»</w:t>
      </w:r>
      <w:r/>
    </w:p>
    <w:tbl>
      <w:tblPr>
        <w:tblW w:w="9497" w:type="dxa"/>
        <w:tblInd w:w="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677"/>
      </w:tblGrid>
      <w:tr>
        <w:trPr/>
        <w:tc>
          <w:tcPr>
            <w:tcW w:w="4820" w:type="dxa"/>
            <w:textDirection w:val="lrTb"/>
            <w:noWrap w:val="false"/>
          </w:tcPr>
          <w:p>
            <w:pPr>
              <w:pStyle w:val="811"/>
              <w:contextualSpacing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11"/>
              <w:contextualSpacing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14. Реквизиты сторон:</w:t>
            </w:r>
            <w:r/>
          </w:p>
          <w:p>
            <w:pPr>
              <w:pStyle w:val="861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"Нова"</w:t>
            </w:r>
            <w:r/>
          </w:p>
          <w:p>
            <w:pPr>
              <w:pStyle w:val="811"/>
              <w:spacing w:line="276" w:lineRule="auto"/>
              <w:shd w:val="clear" w:color="auto" w:fill="ffffff"/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ОГРН 1105658011744, ИНН 5638056973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КПП: </w:t>
            </w:r>
            <w:r>
              <w:rPr>
                <w:sz w:val="22"/>
                <w:szCs w:val="22"/>
              </w:rPr>
              <w:t xml:space="preserve">563801001, место нахождения: 460508, Оренбургская обл., Оренбургский р-н,  пос. Ленина, ул. Губернская, д. 70</w:t>
            </w:r>
            <w:r/>
          </w:p>
          <w:p>
            <w:pPr>
              <w:pStyle w:val="811"/>
              <w:contextualSpacing/>
              <w:spacing w:before="0" w:after="0" w:line="276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/>
          </w:p>
          <w:p>
            <w:pPr>
              <w:pStyle w:val="811"/>
              <w:contextualSpacing/>
              <w:spacing w:before="0" w:after="0"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Наименование Банка получателя:</w:t>
            </w:r>
            <w:r/>
          </w:p>
          <w:p>
            <w:pPr>
              <w:pStyle w:val="811"/>
              <w:contextualSpacing/>
              <w:spacing w:before="0" w:after="0" w:line="276" w:lineRule="auto"/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z w:val="18"/>
                <w:highlight w:val="white"/>
              </w:rPr>
              <w:t xml:space="preserve">Филиал "Корпоративный" ПАО "Совкомбанк"</w:t>
            </w:r>
            <w:r>
              <w:rPr>
                <w:rFonts w:ascii="Arial" w:hAnsi="Arial" w:eastAsia="Arial" w:cs="Arial"/>
                <w:color w:val="000000"/>
                <w:sz w:val="18"/>
                <w:highlight w:val="white"/>
              </w:rPr>
            </w:r>
            <w:r/>
          </w:p>
          <w:p>
            <w:pPr>
              <w:pStyle w:val="811"/>
              <w:contextualSpacing/>
              <w:spacing w:before="0" w:after="0" w:line="276" w:lineRule="auto"/>
              <w:rPr>
                <w:sz w:val="32"/>
                <w:szCs w:val="32"/>
              </w:rPr>
            </w:pPr>
            <w:r>
              <w:rPr>
                <w:shd w:val="clear" w:color="auto" w:fill="ffffff"/>
              </w:rPr>
              <w:t xml:space="preserve">ИНН Банка получателя: </w:t>
            </w:r>
            <w:r>
              <w:rPr>
                <w:rFonts w:ascii="Arial" w:hAnsi="Arial" w:eastAsia="Arial" w:cs="Arial"/>
                <w:color w:val="000000"/>
                <w:sz w:val="18"/>
                <w:highlight w:val="white"/>
              </w:rPr>
              <w:t xml:space="preserve">4401116480</w:t>
            </w:r>
            <w:r>
              <w:rPr>
                <w:szCs w:val="32"/>
              </w:rPr>
            </w:r>
            <w:r/>
          </w:p>
          <w:p>
            <w:pPr>
              <w:pStyle w:val="811"/>
              <w:contextualSpacing/>
              <w:spacing w:before="0" w:after="0" w:line="276" w:lineRule="auto"/>
            </w:pPr>
            <w:r>
              <w:rPr>
                <w:shd w:val="clear" w:color="auto" w:fill="ffffff"/>
              </w:rPr>
              <w:t xml:space="preserve">КПП Банка получателя: </w:t>
            </w:r>
            <w:r>
              <w:rPr>
                <w:rFonts w:ascii="Liberation Sans" w:hAnsi="Liberation Sans" w:eastAsia="Liberation Sans" w:cs="Liberation Sans"/>
                <w:color w:val="040c28"/>
                <w:sz w:val="20"/>
                <w:szCs w:val="12"/>
                <w:highlight w:val="white"/>
              </w:rPr>
              <w:t xml:space="preserve">544543001</w:t>
            </w:r>
            <w:r>
              <w:br/>
            </w:r>
            <w:r>
              <w:rPr>
                <w:shd w:val="clear" w:color="auto" w:fill="ffffff"/>
              </w:rPr>
              <w:t xml:space="preserve">БИК Банка получателя: </w:t>
            </w:r>
            <w:r>
              <w:rPr>
                <w:rFonts w:ascii="Arial" w:hAnsi="Arial" w:eastAsia="Arial" w:cs="Arial"/>
                <w:color w:val="000000"/>
                <w:sz w:val="18"/>
                <w:highlight w:val="white"/>
              </w:rPr>
              <w:t xml:space="preserve">044525360</w:t>
            </w:r>
            <w:r>
              <w:br/>
            </w:r>
            <w:r>
              <w:rPr>
                <w:shd w:val="clear" w:color="auto" w:fill="ffffff"/>
              </w:rPr>
              <w:t xml:space="preserve">Корсчет Банка получателя: </w:t>
            </w:r>
            <w:r>
              <w:rPr>
                <w:rFonts w:ascii="Arial" w:hAnsi="Arial" w:eastAsia="Arial" w:cs="Arial"/>
                <w:color w:val="000000"/>
                <w:sz w:val="18"/>
                <w:highlight w:val="white"/>
              </w:rPr>
              <w:t xml:space="preserve">30101810445250000360</w:t>
            </w:r>
            <w:r/>
            <w:r>
              <w:rPr>
                <w:shd w:val="clear" w:color="auto" w:fill="ffffff"/>
              </w:rPr>
            </w:r>
            <w:r>
              <w:br/>
            </w:r>
            <w:r>
              <w:rPr>
                <w:shd w:val="clear" w:color="auto" w:fill="ffffff"/>
              </w:rPr>
              <w:t xml:space="preserve">Наименование получателя: ООО "Нова"</w:t>
            </w:r>
            <w:r>
              <w:br/>
            </w:r>
            <w:r>
              <w:rPr>
                <w:shd w:val="clear" w:color="auto" w:fill="ffffff"/>
              </w:rPr>
              <w:t xml:space="preserve">Счет получателя в Банке получателя: </w:t>
            </w:r>
            <w:r>
              <w:rPr>
                <w:rFonts w:ascii="Arial" w:hAnsi="Arial" w:eastAsia="Arial" w:cs="Arial"/>
                <w:color w:val="000000"/>
                <w:sz w:val="18"/>
                <w:highlight w:val="white"/>
              </w:rPr>
              <w:t xml:space="preserve">40702810712020580734</w:t>
            </w:r>
            <w:r/>
            <w:r/>
          </w:p>
          <w:p>
            <w:pPr>
              <w:pStyle w:val="811"/>
              <w:contextualSpacing/>
              <w:spacing w:before="0" w:after="0" w:line="276" w:lineRule="auto"/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  <w:r/>
          </w:p>
          <w:p>
            <w:pPr>
              <w:pStyle w:val="811"/>
              <w:contextualSpacing/>
              <w:spacing w:before="0" w:after="0" w:line="276" w:lineRule="auto"/>
              <w:tabs>
                <w:tab w:val="clear" w:pos="720" w:leader="none"/>
                <w:tab w:val="center" w:pos="2302" w:leader="none"/>
              </w:tabs>
            </w:pPr>
            <w:r>
              <w:rPr>
                <w:b/>
                <w:sz w:val="22"/>
                <w:szCs w:val="22"/>
              </w:rPr>
              <w:t xml:space="preserve">Д.П. Максютов</w:t>
              <w:tab/>
            </w:r>
            <w:r/>
          </w:p>
          <w:p>
            <w:pPr>
              <w:pStyle w:val="811"/>
              <w:contextualSpacing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_______________________________________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11"/>
              <w:contextualSpacing/>
              <w:ind w:right="-87" w:firstLine="0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11"/>
              <w:contextualSpacing/>
              <w:ind w:right="-87" w:firstLine="0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11"/>
              <w:contextualSpacing/>
              <w:ind w:right="-87" w:firstLine="0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Претендент:</w:t>
            </w:r>
            <w:r/>
          </w:p>
        </w:tc>
      </w:tr>
      <w:tr>
        <w:trPr/>
        <w:tc>
          <w:tcPr>
            <w:tcW w:w="4820" w:type="dxa"/>
            <w:textDirection w:val="lrTb"/>
            <w:noWrap w:val="false"/>
          </w:tcPr>
          <w:p>
            <w:pPr>
              <w:pStyle w:val="811"/>
              <w:contextualSpacing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11"/>
              <w:contextualSpacing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11"/>
              <w:contextualSpacing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811"/>
              <w:contextualSpacing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811"/>
              <w:contextualSpacing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859"/>
        <w:contextualSpacing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sectPr>
      <w:footnotePr/>
      <w:endnotePr/>
      <w:type w:val="nextPage"/>
      <w:pgSz w:w="11906" w:h="16838" w:orient="portrait"/>
      <w:pgMar w:top="567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ahoma">
    <w:panose1 w:val="020B0506030602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character" w:styleId="640">
    <w:name w:val="Heading 3 Char"/>
    <w:link w:val="812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List Paragraph"/>
    <w:basedOn w:val="811"/>
    <w:uiPriority w:val="34"/>
    <w:qFormat/>
    <w:pPr>
      <w:contextualSpacing/>
      <w:ind w:left="720"/>
    </w:p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1"/>
    <w:next w:val="811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link w:val="655"/>
    <w:uiPriority w:val="10"/>
    <w:rPr>
      <w:sz w:val="48"/>
      <w:szCs w:val="48"/>
    </w:rPr>
  </w:style>
  <w:style w:type="paragraph" w:styleId="657">
    <w:name w:val="Subtitle"/>
    <w:basedOn w:val="811"/>
    <w:next w:val="811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link w:val="657"/>
    <w:uiPriority w:val="11"/>
    <w:rPr>
      <w:sz w:val="24"/>
      <w:szCs w:val="24"/>
    </w:rPr>
  </w:style>
  <w:style w:type="paragraph" w:styleId="659">
    <w:name w:val="Quote"/>
    <w:basedOn w:val="811"/>
    <w:next w:val="811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1"/>
    <w:next w:val="811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1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link w:val="663"/>
    <w:uiPriority w:val="99"/>
  </w:style>
  <w:style w:type="paragraph" w:styleId="665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link w:val="665"/>
    <w:uiPriority w:val="99"/>
  </w:style>
  <w:style w:type="character" w:styleId="667">
    <w:name w:val="Caption Char"/>
    <w:basedOn w:val="857"/>
    <w:link w:val="665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12">
    <w:name w:val="Heading 3"/>
    <w:basedOn w:val="811"/>
    <w:next w:val="811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sz w:val="26"/>
    </w:rPr>
  </w:style>
  <w:style w:type="character" w:styleId="813">
    <w:name w:val="WW8Num1z0"/>
    <w:qFormat/>
  </w:style>
  <w:style w:type="character" w:styleId="814">
    <w:name w:val="WW8Num1z1"/>
    <w:qFormat/>
  </w:style>
  <w:style w:type="character" w:styleId="815">
    <w:name w:val="WW8Num1z2"/>
    <w:qFormat/>
  </w:style>
  <w:style w:type="character" w:styleId="816">
    <w:name w:val="WW8Num1z3"/>
    <w:qFormat/>
  </w:style>
  <w:style w:type="character" w:styleId="817">
    <w:name w:val="WW8Num1z4"/>
    <w:qFormat/>
  </w:style>
  <w:style w:type="character" w:styleId="818">
    <w:name w:val="WW8Num1z5"/>
    <w:qFormat/>
  </w:style>
  <w:style w:type="character" w:styleId="819">
    <w:name w:val="WW8Num1z6"/>
    <w:qFormat/>
  </w:style>
  <w:style w:type="character" w:styleId="820">
    <w:name w:val="WW8Num1z7"/>
    <w:qFormat/>
  </w:style>
  <w:style w:type="character" w:styleId="821">
    <w:name w:val="WW8Num1z8"/>
    <w:qFormat/>
  </w:style>
  <w:style w:type="character" w:styleId="822">
    <w:name w:val="WW8Num2z0"/>
    <w:qFormat/>
  </w:style>
  <w:style w:type="character" w:styleId="823">
    <w:name w:val="WW8Num2z1"/>
    <w:qFormat/>
  </w:style>
  <w:style w:type="character" w:styleId="824">
    <w:name w:val="WW8Num2z2"/>
    <w:qFormat/>
  </w:style>
  <w:style w:type="character" w:styleId="825">
    <w:name w:val="WW8Num2z3"/>
    <w:qFormat/>
  </w:style>
  <w:style w:type="character" w:styleId="826">
    <w:name w:val="WW8Num2z4"/>
    <w:qFormat/>
  </w:style>
  <w:style w:type="character" w:styleId="827">
    <w:name w:val="WW8Num2z5"/>
    <w:qFormat/>
  </w:style>
  <w:style w:type="character" w:styleId="828">
    <w:name w:val="WW8Num2z6"/>
    <w:qFormat/>
  </w:style>
  <w:style w:type="character" w:styleId="829">
    <w:name w:val="WW8Num2z7"/>
    <w:qFormat/>
  </w:style>
  <w:style w:type="character" w:styleId="830">
    <w:name w:val="WW8Num2z8"/>
    <w:qFormat/>
  </w:style>
  <w:style w:type="character" w:styleId="831">
    <w:name w:val="WW8Num3z0"/>
    <w:qFormat/>
  </w:style>
  <w:style w:type="character" w:styleId="832">
    <w:name w:val="WW8Num3z1"/>
    <w:qFormat/>
  </w:style>
  <w:style w:type="character" w:styleId="833">
    <w:name w:val="WW8Num3z2"/>
    <w:qFormat/>
  </w:style>
  <w:style w:type="character" w:styleId="834">
    <w:name w:val="WW8Num3z3"/>
    <w:qFormat/>
  </w:style>
  <w:style w:type="character" w:styleId="835">
    <w:name w:val="WW8Num3z4"/>
    <w:qFormat/>
  </w:style>
  <w:style w:type="character" w:styleId="836">
    <w:name w:val="WW8Num3z5"/>
    <w:qFormat/>
  </w:style>
  <w:style w:type="character" w:styleId="837">
    <w:name w:val="WW8Num3z6"/>
    <w:qFormat/>
  </w:style>
  <w:style w:type="character" w:styleId="838">
    <w:name w:val="WW8Num3z7"/>
    <w:qFormat/>
  </w:style>
  <w:style w:type="character" w:styleId="839">
    <w:name w:val="WW8Num3z8"/>
    <w:qFormat/>
  </w:style>
  <w:style w:type="character" w:styleId="840">
    <w:name w:val="WW8Num4z0"/>
    <w:qFormat/>
  </w:style>
  <w:style w:type="character" w:styleId="841">
    <w:name w:val="WW8Num4z1"/>
    <w:qFormat/>
  </w:style>
  <w:style w:type="character" w:styleId="842">
    <w:name w:val="WW8Num4z2"/>
    <w:qFormat/>
  </w:style>
  <w:style w:type="character" w:styleId="843">
    <w:name w:val="WW8Num4z3"/>
    <w:qFormat/>
  </w:style>
  <w:style w:type="character" w:styleId="844">
    <w:name w:val="WW8Num4z4"/>
    <w:qFormat/>
  </w:style>
  <w:style w:type="character" w:styleId="845">
    <w:name w:val="WW8Num4z5"/>
    <w:qFormat/>
  </w:style>
  <w:style w:type="character" w:styleId="846">
    <w:name w:val="WW8Num4z6"/>
    <w:qFormat/>
  </w:style>
  <w:style w:type="character" w:styleId="847">
    <w:name w:val="WW8Num4z7"/>
    <w:qFormat/>
  </w:style>
  <w:style w:type="character" w:styleId="848">
    <w:name w:val="WW8Num4z8"/>
    <w:qFormat/>
  </w:style>
  <w:style w:type="character" w:styleId="849">
    <w:name w:val="Основной шрифт абзаца"/>
    <w:qFormat/>
  </w:style>
  <w:style w:type="character" w:styleId="850">
    <w:name w:val="Hyperlink"/>
    <w:rPr>
      <w:color w:val="0000ff"/>
      <w:u w:val="single"/>
    </w:rPr>
  </w:style>
  <w:style w:type="character" w:styleId="851">
    <w:name w:val="apple-style-span"/>
    <w:basedOn w:val="849"/>
    <w:qFormat/>
  </w:style>
  <w:style w:type="character" w:styleId="852">
    <w:name w:val="apple-converted-space"/>
    <w:basedOn w:val="849"/>
    <w:qFormat/>
  </w:style>
  <w:style w:type="character" w:styleId="853">
    <w:name w:val="Текст выноски Знак"/>
    <w:qFormat/>
    <w:rPr>
      <w:rFonts w:ascii="Tahoma" w:hAnsi="Tahoma" w:cs="Tahoma"/>
      <w:sz w:val="16"/>
      <w:szCs w:val="16"/>
    </w:rPr>
  </w:style>
  <w:style w:type="paragraph" w:styleId="854">
    <w:name w:val="Heading"/>
    <w:basedOn w:val="811"/>
    <w:next w:val="855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55">
    <w:name w:val="Body Text"/>
    <w:basedOn w:val="811"/>
    <w:pPr>
      <w:spacing w:before="0" w:after="140" w:line="276" w:lineRule="auto"/>
    </w:pPr>
  </w:style>
  <w:style w:type="paragraph" w:styleId="856">
    <w:name w:val="List"/>
    <w:basedOn w:val="855"/>
  </w:style>
  <w:style w:type="paragraph" w:styleId="857">
    <w:name w:val="Caption"/>
    <w:basedOn w:val="811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58">
    <w:name w:val="Index"/>
    <w:basedOn w:val="811"/>
    <w:qFormat/>
    <w:pPr>
      <w:suppressLineNumbers/>
    </w:pPr>
  </w:style>
  <w:style w:type="paragraph" w:styleId="859">
    <w:name w:val="Обычный (веб)"/>
    <w:basedOn w:val="811"/>
    <w:qFormat/>
    <w:pPr>
      <w:spacing w:before="240" w:after="240"/>
    </w:pPr>
    <w:rPr>
      <w:sz w:val="24"/>
    </w:rPr>
  </w:style>
  <w:style w:type="paragraph" w:styleId="860">
    <w:name w:val="Текст выноски"/>
    <w:basedOn w:val="811"/>
    <w:qFormat/>
    <w:rPr>
      <w:rFonts w:ascii="Tahoma" w:hAnsi="Tahoma" w:cs="Tahoma"/>
      <w:sz w:val="16"/>
      <w:szCs w:val="16"/>
      <w:lang w:val="en-US"/>
    </w:rPr>
  </w:style>
  <w:style w:type="paragraph" w:styleId="861">
    <w:name w:val="Без интервала"/>
    <w:qFormat/>
    <w:pPr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862">
    <w:name w:val="Table Contents"/>
    <w:basedOn w:val="811"/>
    <w:qFormat/>
    <w:pPr>
      <w:widowControl w:val="off"/>
      <w:suppressLineNumbers/>
    </w:pPr>
  </w:style>
  <w:style w:type="paragraph" w:styleId="863">
    <w:name w:val="Table Heading"/>
    <w:basedOn w:val="862"/>
    <w:qFormat/>
    <w:pPr>
      <w:jc w:val="center"/>
      <w:suppressLineNumbers/>
    </w:pPr>
    <w:rPr>
      <w:b/>
      <w:bCs/>
    </w:rPr>
  </w:style>
  <w:style w:type="numbering" w:styleId="864">
    <w:name w:val="WW8Num1"/>
    <w:qFormat/>
  </w:style>
  <w:style w:type="numbering" w:styleId="865">
    <w:name w:val="WW8Num2"/>
    <w:qFormat/>
  </w:style>
  <w:style w:type="numbering" w:styleId="866">
    <w:name w:val="WW8Num3"/>
    <w:qFormat/>
  </w:style>
  <w:style w:type="numbering" w:styleId="867">
    <w:name w:val="WW8Num4"/>
    <w:qFormat/>
  </w:style>
  <w:style w:type="character" w:styleId="868" w:default="1">
    <w:name w:val="Default Paragraph Font"/>
    <w:uiPriority w:val="1"/>
    <w:semiHidden/>
    <w:unhideWhenUsed/>
  </w:style>
  <w:style w:type="numbering" w:styleId="869" w:default="1">
    <w:name w:val="No List"/>
    <w:uiPriority w:val="99"/>
    <w:semiHidden/>
    <w:unhideWhenUsed/>
  </w:style>
  <w:style w:type="table" w:styleId="8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Reanimator 98</dc:creator>
  <cp:keywords> </cp:keywords>
  <dc:description/>
  <dc:language>en-US</dc:language>
  <cp:lastModifiedBy>Анакин Скайуокер</cp:lastModifiedBy>
  <cp:revision>13</cp:revision>
  <dcterms:created xsi:type="dcterms:W3CDTF">2020-01-27T08:13:00Z</dcterms:created>
  <dcterms:modified xsi:type="dcterms:W3CDTF">2023-05-18T06:38:58Z</dcterms:modified>
</cp:coreProperties>
</file>