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3730" w14:textId="1581214E" w:rsidR="00922525" w:rsidRPr="00922525" w:rsidRDefault="008A1E8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1E8D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пер.Гривцова, д.5, лит.В, 8(908)8747649, tf@auction-house.ru) (далее-Организатор торгов, ОТ), действующее на основании договора поручения с Онищук Олегом Владимировичем (дата рожд</w:t>
      </w:r>
      <w:r w:rsidR="008233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A1E8D">
        <w:rPr>
          <w:rFonts w:ascii="Times New Roman" w:hAnsi="Times New Roman" w:cs="Times New Roman"/>
          <w:color w:val="000000"/>
          <w:sz w:val="24"/>
          <w:szCs w:val="24"/>
        </w:rPr>
        <w:t>: 09.03.1987, место рожд</w:t>
      </w:r>
      <w:r w:rsidR="008233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A1E8D">
        <w:rPr>
          <w:rFonts w:ascii="Times New Roman" w:hAnsi="Times New Roman" w:cs="Times New Roman"/>
          <w:color w:val="000000"/>
          <w:sz w:val="24"/>
          <w:szCs w:val="24"/>
        </w:rPr>
        <w:t xml:space="preserve">: пос. Рудничный города Краснотурьинска Свердловской обл, СНИЛС: 121-778-372 65, ИНН 661707069701, регистрация по месту жительства / фактическое место жительства: Свердловской обл., пос. Рудничный, ул. Чкалова д. 16 кв. 63), </w:t>
      </w:r>
      <w:r w:rsidR="0082338B">
        <w:rPr>
          <w:rFonts w:ascii="Times New Roman" w:hAnsi="Times New Roman" w:cs="Times New Roman"/>
          <w:iCs/>
          <w:sz w:val="24"/>
          <w:szCs w:val="24"/>
        </w:rPr>
        <w:t>(далее</w:t>
      </w:r>
      <w:r w:rsidR="0082338B" w:rsidRPr="00324D43">
        <w:rPr>
          <w:rFonts w:ascii="Times New Roman" w:hAnsi="Times New Roman" w:cs="Times New Roman"/>
          <w:iCs/>
          <w:sz w:val="24"/>
          <w:szCs w:val="24"/>
        </w:rPr>
        <w:t xml:space="preserve"> «Должник»</w:t>
      </w:r>
      <w:r w:rsidR="0082338B">
        <w:rPr>
          <w:rFonts w:ascii="Times New Roman" w:hAnsi="Times New Roman" w:cs="Times New Roman"/>
          <w:iCs/>
          <w:sz w:val="24"/>
          <w:szCs w:val="24"/>
        </w:rPr>
        <w:t>)</w:t>
      </w:r>
      <w:r w:rsidR="0082338B" w:rsidRPr="00324D4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8A1E8D">
        <w:rPr>
          <w:rFonts w:ascii="Times New Roman" w:hAnsi="Times New Roman" w:cs="Times New Roman"/>
          <w:color w:val="000000"/>
          <w:sz w:val="24"/>
          <w:szCs w:val="24"/>
        </w:rPr>
        <w:t xml:space="preserve">в лице Финансового управляющего </w:t>
      </w:r>
      <w:bookmarkStart w:id="0" w:name="_Hlk133944579"/>
      <w:r w:rsidR="003C30EC" w:rsidRPr="003C30EC">
        <w:rPr>
          <w:rFonts w:ascii="Times New Roman" w:hAnsi="Times New Roman" w:cs="Times New Roman"/>
          <w:color w:val="000000"/>
          <w:sz w:val="24"/>
          <w:szCs w:val="24"/>
        </w:rPr>
        <w:t>Лященко Елены Юрьевны (ИНН 644918090430, СНИЛС 075-073-043 48, адрес для направления корреспонденции: 413100, Россия, Саратовская область, г. Энгельс, ул. Красноармейская, д. 93), член Ассоциации арбитражных управляющих «ГАРАНТИЯ» (ИНН 7727278019, ОГРН 1087799004193, адрес СРО АУ: 125167, г Москва, ул. Викторенко, д.5, строение 1, эт. 2), действующий на основании Решения Арбитражного суда Свердловской области от 23.11.2020 и Определением Арбитражного суда Свердловской области от 19.03.2023 г. по делу №А60-52881/2020</w:t>
      </w:r>
      <w:r w:rsidRPr="008A1E8D">
        <w:rPr>
          <w:rFonts w:ascii="Times New Roman" w:hAnsi="Times New Roman" w:cs="Times New Roman"/>
          <w:color w:val="000000"/>
          <w:sz w:val="24"/>
          <w:szCs w:val="24"/>
        </w:rPr>
        <w:t xml:space="preserve"> (далее–ФУ)</w:t>
      </w:r>
      <w:bookmarkEnd w:id="0"/>
      <w:r w:rsidRPr="008A1E8D">
        <w:rPr>
          <w:rFonts w:ascii="Times New Roman" w:hAnsi="Times New Roman" w:cs="Times New Roman"/>
          <w:color w:val="000000"/>
          <w:sz w:val="24"/>
          <w:szCs w:val="24"/>
        </w:rPr>
        <w:t>, сообщает о проведении на электронной площадке АО РАД по адресу: http://lot-online.ru (далее-ЭТП)</w:t>
      </w:r>
      <w:bookmarkStart w:id="1" w:name="_Hlk48840748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525" w:rsidRPr="009225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торгов посредством публичного предложения (далее - ТППП). </w:t>
      </w:r>
    </w:p>
    <w:p w14:paraId="58A5EA47" w14:textId="54170560" w:rsidR="007243B4" w:rsidRPr="00922525" w:rsidRDefault="00922525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525">
        <w:rPr>
          <w:rFonts w:ascii="Times New Roman" w:hAnsi="Times New Roman" w:cs="Times New Roman"/>
          <w:color w:val="000000"/>
          <w:sz w:val="24"/>
          <w:szCs w:val="24"/>
        </w:rPr>
        <w:t>Предмет Торгов:</w:t>
      </w:r>
    </w:p>
    <w:p w14:paraId="13ECBFF1" w14:textId="4D09C85C" w:rsidR="008A1E8D" w:rsidRDefault="008A1E8D" w:rsidP="00460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№1: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Автомобиль Toyota FUNCARGO, цвет зеленый, рег.знак Т453ВС96, VIN NCP21-0054779, год выпуска 2002. </w:t>
      </w:r>
      <w:r w:rsidRPr="008A1E8D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243 000,00 (двести сорок три тысячи) руб. 00 коп. (далее – НЦ).</w:t>
      </w:r>
    </w:p>
    <w:p w14:paraId="2062BA33" w14:textId="0593D8B1" w:rsidR="0022007D" w:rsidRDefault="0022007D" w:rsidP="004604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ТППП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</w:t>
      </w:r>
      <w:bookmarkStart w:id="2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068E05BB" w14:textId="7F0394C4" w:rsid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2694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– </w:t>
      </w:r>
      <w:r w:rsidR="003C30EC" w:rsidRPr="00992694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926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A1E8D" w:rsidRPr="00992694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99269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C30EC" w:rsidRPr="0099269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92694">
        <w:rPr>
          <w:rFonts w:ascii="Times New Roman" w:hAnsi="Times New Roman" w:cs="Times New Roman"/>
          <w:color w:val="000000"/>
          <w:sz w:val="24"/>
          <w:szCs w:val="24"/>
        </w:rPr>
        <w:t xml:space="preserve"> с 10час. 00мин. (МСК). Прием заявок и величина снижения в каждом периоде составляет</w:t>
      </w:r>
      <w:r w:rsidRPr="009D271A">
        <w:rPr>
          <w:rFonts w:ascii="Times New Roman" w:hAnsi="Times New Roman" w:cs="Times New Roman"/>
          <w:color w:val="000000"/>
          <w:sz w:val="24"/>
          <w:szCs w:val="24"/>
        </w:rPr>
        <w:t xml:space="preserve">: в 1-ом периоде – </w:t>
      </w:r>
      <w:r w:rsidR="008A1E8D" w:rsidRPr="009450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</w:t>
      </w:r>
      <w:r w:rsidR="007D2DA0" w:rsidRPr="009D2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71A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действует НЦ; со 2-го по </w:t>
      </w:r>
      <w:r w:rsidR="008A1E8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D271A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8D7335" w:rsidRPr="009450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7D2DA0" w:rsidRPr="009450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50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9D271A">
        <w:rPr>
          <w:rFonts w:ascii="Times New Roman" w:hAnsi="Times New Roman" w:cs="Times New Roman"/>
          <w:color w:val="000000"/>
          <w:sz w:val="24"/>
          <w:szCs w:val="24"/>
        </w:rPr>
        <w:t xml:space="preserve">алендарных дней на </w:t>
      </w:r>
      <w:r w:rsidR="008A1E8D" w:rsidRPr="009450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450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9D271A">
        <w:rPr>
          <w:rFonts w:ascii="Times New Roman" w:hAnsi="Times New Roman" w:cs="Times New Roman"/>
          <w:color w:val="000000"/>
          <w:sz w:val="24"/>
          <w:szCs w:val="24"/>
        </w:rPr>
        <w:t xml:space="preserve"> от НЦ первого периода ТППП. При наличии заявок на участие в ТППП, рассмотрение заявок </w:t>
      </w:r>
      <w:r w:rsidR="003C30EC" w:rsidRPr="003C30EC">
        <w:rPr>
          <w:rFonts w:ascii="Times New Roman" w:hAnsi="Times New Roman" w:cs="Times New Roman"/>
          <w:color w:val="000000"/>
          <w:sz w:val="24"/>
          <w:szCs w:val="24"/>
        </w:rPr>
        <w:t xml:space="preserve">ОТ проводит </w:t>
      </w:r>
      <w:r w:rsidR="003C30EC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="003C30EC" w:rsidRPr="003C30E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3C30E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30EC" w:rsidRPr="003C30EC">
        <w:rPr>
          <w:rFonts w:ascii="Times New Roman" w:hAnsi="Times New Roman" w:cs="Times New Roman"/>
          <w:color w:val="000000"/>
          <w:sz w:val="24"/>
          <w:szCs w:val="24"/>
        </w:rPr>
        <w:t>:00 (МСК) следующего рабочего дня за днем окончания приема заявок на периоде, в котором поступили заявки на участие</w:t>
      </w:r>
    </w:p>
    <w:p w14:paraId="0C543AEF" w14:textId="4FE28728" w:rsidR="0022007D" w:rsidRP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190FC588" w14:textId="77777777" w:rsidR="00DB0721" w:rsidRDefault="0022007D" w:rsidP="00DB07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юр.лица), фамилия, имя, отчество, паспортные данные, сведения о месте жительства (для физ.лица),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B0260A" w:rsidRPr="00FB2486">
        <w:rPr>
          <w:rFonts w:ascii="Times New Roman" w:eastAsia="Times New Roman" w:hAnsi="Times New Roman" w:cs="Times New Roman"/>
          <w:sz w:val="24"/>
          <w:szCs w:val="24"/>
        </w:rPr>
        <w:t>К заявке на участие в Торгах должны быть приложены копии документов согласно требованиям п.11 ст.110 Закона о банкротстве.</w:t>
      </w:r>
      <w:r w:rsidR="00CF15C5" w:rsidRPr="00FB2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665A3" w14:textId="1D3FB6D9" w:rsidR="007243B4" w:rsidRPr="00DB0721" w:rsidRDefault="00872207" w:rsidP="00DB07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в электронной форме подписанный электронной подписью Заявителя ДЗ. Заявитель обязан в срок, указанный в извещении внести задаток в размере </w:t>
      </w:r>
      <w:r w:rsidR="006D72E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45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007D" w:rsidRPr="0022007D">
        <w:rPr>
          <w:rFonts w:ascii="Times New Roman" w:eastAsia="Times New Roman" w:hAnsi="Times New Roman" w:cs="Times New Roman"/>
          <w:color w:val="000000"/>
          <w:sz w:val="24"/>
          <w:szCs w:val="24"/>
        </w:rPr>
        <w:t>от начальной цены продажи соответствующего лота, установленной для соответствующего периода ТППП</w:t>
      </w:r>
      <w:r w:rsidR="002609D3"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30EC" w:rsidRPr="003C3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г.Санкт-Петербург, к/с 30101810500000000653, БИК 044030653. В назначении платежа необходимо указывать: «№ л/с ________ Средства для проведения операций по обеспечению участия в </w:t>
      </w:r>
      <w:r w:rsidR="003C30EC" w:rsidRPr="003C30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ден.средств, перечисленных в качестве задатка, на счет Оператора ЭТП</w:t>
      </w:r>
      <w:r w:rsidR="003C30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F15C5"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857C23" w14:textId="77777777" w:rsidR="0022007D" w:rsidRP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08F829F4" w14:textId="77777777" w:rsidR="0022007D" w:rsidRP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336E23F3" w14:textId="77777777" w:rsidR="0022007D" w:rsidRP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365DE7F" w14:textId="77777777" w:rsidR="0022007D" w:rsidRP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161570FA" w14:textId="77777777" w:rsidR="0022007D" w:rsidRP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sz w:val="24"/>
          <w:szCs w:val="24"/>
        </w:rPr>
        <w:t>КУ в течение 5 дней с даты подписания протокола о результатах проведения ТППП направляет Победителю на адрес электронной почты, указанный в заявке на участие в ТППП, предложение заключить Договор с приложением проекта Договора.</w:t>
      </w:r>
    </w:p>
    <w:p w14:paraId="4F9BDB32" w14:textId="14D58B47" w:rsidR="0022007D" w:rsidRPr="0022007D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</w:t>
      </w:r>
      <w:r w:rsidR="008C0CB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2007D">
        <w:rPr>
          <w:rFonts w:ascii="Times New Roman" w:eastAsia="Times New Roman" w:hAnsi="Times New Roman" w:cs="Times New Roman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8C0CB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2007D">
        <w:rPr>
          <w:rFonts w:ascii="Times New Roman" w:eastAsia="Times New Roman" w:hAnsi="Times New Roman" w:cs="Times New Roman"/>
          <w:sz w:val="24"/>
          <w:szCs w:val="24"/>
        </w:rPr>
        <w:t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7E6685CD" w14:textId="08FE0CAD" w:rsidR="007243B4" w:rsidRDefault="0022007D" w:rsidP="002200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sz w:val="24"/>
          <w:szCs w:val="24"/>
        </w:rPr>
        <w:t>Победитель обязан уплатить продавцу в течени</w:t>
      </w:r>
      <w:r w:rsidR="00507E69">
        <w:rPr>
          <w:rFonts w:ascii="Times New Roman" w:eastAsia="Times New Roman" w:hAnsi="Times New Roman" w:cs="Times New Roman"/>
          <w:sz w:val="24"/>
          <w:szCs w:val="24"/>
        </w:rPr>
        <w:t>е 30 дней с даты заключения Договора</w:t>
      </w:r>
      <w:r w:rsidRPr="0022007D">
        <w:rPr>
          <w:rFonts w:ascii="Times New Roman" w:eastAsia="Times New Roman" w:hAnsi="Times New Roman" w:cs="Times New Roman"/>
          <w:sz w:val="24"/>
          <w:szCs w:val="24"/>
        </w:rPr>
        <w:t xml:space="preserve"> определенную на ТППП цену продажи лота за вычетом внесенного ранее задатка по следующим </w:t>
      </w:r>
      <w:r w:rsidRPr="00992694">
        <w:rPr>
          <w:rFonts w:ascii="Times New Roman" w:eastAsia="Times New Roman" w:hAnsi="Times New Roman" w:cs="Times New Roman"/>
          <w:sz w:val="24"/>
          <w:szCs w:val="24"/>
        </w:rPr>
        <w:t xml:space="preserve">реквизитам: </w:t>
      </w:r>
      <w:r w:rsidR="0094508C" w:rsidRPr="00992694">
        <w:rPr>
          <w:rFonts w:ascii="Times New Roman" w:eastAsia="Times New Roman" w:hAnsi="Times New Roman" w:cs="Times New Roman"/>
          <w:sz w:val="24"/>
          <w:szCs w:val="24"/>
        </w:rPr>
        <w:t>Онищук Олег Владимирович (ИНН 661707069701) р/с: 40817810856003777979 в ПОВОЛЖСКИЙ БАНК ПАО СБЕРБАНК, к/c: 30101810200000000607, БИК: 043601607.</w:t>
      </w:r>
      <w:r w:rsidR="00B0260A" w:rsidRPr="009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09D3" w:rsidRPr="00992694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  <w:r w:rsid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771DDC" w14:textId="6D5E053B" w:rsidR="006514FC" w:rsidRPr="006514FC" w:rsidRDefault="006514FC" w:rsidP="006514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4F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168B4D2D" w14:textId="4AFBA184" w:rsidR="006514FC" w:rsidRDefault="006514FC" w:rsidP="006514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4FC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до подачи заявки на участие в торгах покупатель вправе ознакомится с документами. Подачей заявки на участие в торгах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 ОТ и ФУ не несут ответственность в случае невозможности личного ознакомления с имуществом по не зависящим от них причинам.</w:t>
      </w:r>
    </w:p>
    <w:p w14:paraId="3270332C" w14:textId="6CD09319" w:rsidR="0022007D" w:rsidRDefault="0022007D" w:rsidP="006514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7D">
        <w:rPr>
          <w:rFonts w:ascii="Times New Roman" w:eastAsia="Times New Roman" w:hAnsi="Times New Roman" w:cs="Times New Roman"/>
          <w:color w:val="000000"/>
          <w:sz w:val="24"/>
          <w:szCs w:val="24"/>
        </w:rPr>
        <w:t>ОТ вправе отказаться от проведения ТППП не позднее, чем за 1 день до даты подведения итогов ТППП.</w:t>
      </w:r>
    </w:p>
    <w:bookmarkEnd w:id="1"/>
    <w:p w14:paraId="787736EA" w14:textId="77777777" w:rsidR="0094508C" w:rsidRDefault="0094508C" w:rsidP="00945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с имеющейся документацией производится ОТ в рабочие дни с 9:00 до 17:00. Все запросы, а также подробную информацию об ознакомлении с имуществом можно получить у ОТ по электронной почте: </w:t>
      </w:r>
      <w:r>
        <w:rPr>
          <w:rFonts w:ascii="Times New Roman" w:hAnsi="Times New Roman" w:cs="Times New Roman"/>
          <w:sz w:val="24"/>
          <w:szCs w:val="24"/>
          <w:lang w:val="en-US"/>
        </w:rPr>
        <w:t>tf</w:t>
      </w:r>
      <w:r>
        <w:rPr>
          <w:rFonts w:ascii="Times New Roman" w:hAnsi="Times New Roman" w:cs="Times New Roman"/>
          <w:sz w:val="24"/>
          <w:szCs w:val="24"/>
        </w:rPr>
        <w:t>@auction-house.ru, тел: +7(992) 310-00-72, +7 (3452) 691929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4DF76A" w14:textId="77777777" w:rsidR="008F5CD5" w:rsidRDefault="001A74F2" w:rsidP="008F5C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 5, лит.В, 8 (800) 777-57-57.</w:t>
      </w:r>
      <w:r w:rsidR="000F782A" w:rsidRPr="00FB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736B9" w14:textId="77777777" w:rsidR="008F5CD5" w:rsidRDefault="008F5CD5" w:rsidP="008F5C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0AFCF13" w14:textId="4B19A3A1" w:rsidR="00C53749" w:rsidRPr="009B13F5" w:rsidRDefault="00A93082" w:rsidP="008F5C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3F5">
        <w:rPr>
          <w:rFonts w:ascii="Times New Roman" w:hAnsi="Times New Roman" w:cs="Times New Roman"/>
          <w:b/>
          <w:bCs/>
          <w:sz w:val="24"/>
          <w:szCs w:val="24"/>
        </w:rPr>
        <w:t>График снижени</w:t>
      </w:r>
      <w:r w:rsidR="00AE27FE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Pr="009B13F5">
        <w:rPr>
          <w:rFonts w:ascii="Times New Roman" w:hAnsi="Times New Roman" w:cs="Times New Roman"/>
          <w:b/>
          <w:bCs/>
          <w:sz w:val="24"/>
          <w:szCs w:val="24"/>
        </w:rPr>
        <w:t>цен</w:t>
      </w:r>
      <w:r w:rsidR="00DC1397" w:rsidRPr="009B13F5">
        <w:rPr>
          <w:rFonts w:ascii="Times New Roman" w:hAnsi="Times New Roman" w:cs="Times New Roman"/>
          <w:b/>
          <w:bCs/>
          <w:sz w:val="24"/>
          <w:szCs w:val="24"/>
        </w:rPr>
        <w:t xml:space="preserve"> по Лот</w:t>
      </w:r>
      <w:r w:rsidR="009D271A" w:rsidRPr="009B13F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DC1397" w:rsidRPr="009B13F5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="009D271A" w:rsidRPr="009B13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1838"/>
        <w:gridCol w:w="1704"/>
        <w:gridCol w:w="1701"/>
        <w:gridCol w:w="1984"/>
        <w:gridCol w:w="1559"/>
      </w:tblGrid>
      <w:tr w:rsidR="009D271A" w:rsidRPr="00992694" w14:paraId="732E82B6" w14:textId="77777777" w:rsidTr="003C30EC">
        <w:tc>
          <w:tcPr>
            <w:tcW w:w="3542" w:type="dxa"/>
            <w:gridSpan w:val="2"/>
            <w:tcBorders>
              <w:bottom w:val="single" w:sz="4" w:space="0" w:color="auto"/>
            </w:tcBorders>
          </w:tcPr>
          <w:p w14:paraId="64D50FCC" w14:textId="7E08F566" w:rsidR="009D271A" w:rsidRPr="00992694" w:rsidRDefault="009D271A" w:rsidP="009D271A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Периоды ТППП</w:t>
            </w:r>
          </w:p>
        </w:tc>
        <w:tc>
          <w:tcPr>
            <w:tcW w:w="1701" w:type="dxa"/>
          </w:tcPr>
          <w:p w14:paraId="5CCC0409" w14:textId="309E1B57" w:rsidR="009D271A" w:rsidRPr="00992694" w:rsidRDefault="009D271A" w:rsidP="009D271A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>НЦ</w:t>
            </w:r>
          </w:p>
        </w:tc>
        <w:tc>
          <w:tcPr>
            <w:tcW w:w="1984" w:type="dxa"/>
          </w:tcPr>
          <w:p w14:paraId="19C3C1EF" w14:textId="59B51FF2" w:rsidR="009D271A" w:rsidRPr="00992694" w:rsidRDefault="009D271A" w:rsidP="009D271A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шаг снижение </w:t>
            </w:r>
            <w:r w:rsidR="00AE27FE" w:rsidRPr="00992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14:paraId="05F3C08D" w14:textId="437F8AED" w:rsidR="009D271A" w:rsidRPr="00992694" w:rsidRDefault="009D271A" w:rsidP="009D271A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  <w:r w:rsidR="008F5CD5" w:rsidRPr="009926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C30EC" w:rsidRPr="00992694" w14:paraId="1E1BC77A" w14:textId="77777777" w:rsidTr="003C30EC">
        <w:tc>
          <w:tcPr>
            <w:tcW w:w="1838" w:type="dxa"/>
            <w:tcBorders>
              <w:right w:val="nil"/>
            </w:tcBorders>
            <w:vAlign w:val="bottom"/>
          </w:tcPr>
          <w:p w14:paraId="6539F370" w14:textId="7630A075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22.05.2023 10:00 -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6C4A8108" w14:textId="7370E48A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ind w:left="-11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28.06.2023 14:00</w:t>
            </w:r>
          </w:p>
        </w:tc>
        <w:tc>
          <w:tcPr>
            <w:tcW w:w="1701" w:type="dxa"/>
          </w:tcPr>
          <w:p w14:paraId="0144EED8" w14:textId="304BD7DD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243 000,00 </w:t>
            </w:r>
          </w:p>
        </w:tc>
        <w:tc>
          <w:tcPr>
            <w:tcW w:w="1984" w:type="dxa"/>
          </w:tcPr>
          <w:p w14:paraId="4C8B8D57" w14:textId="3B1CC2F2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17 010,00 </w:t>
            </w:r>
          </w:p>
        </w:tc>
        <w:tc>
          <w:tcPr>
            <w:tcW w:w="1559" w:type="dxa"/>
          </w:tcPr>
          <w:p w14:paraId="20BA1747" w14:textId="6AF0644F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12 150,00 </w:t>
            </w:r>
          </w:p>
        </w:tc>
      </w:tr>
      <w:tr w:rsidR="003C30EC" w:rsidRPr="00992694" w14:paraId="48CD7879" w14:textId="77777777" w:rsidTr="003C30EC">
        <w:tc>
          <w:tcPr>
            <w:tcW w:w="1838" w:type="dxa"/>
            <w:tcBorders>
              <w:right w:val="nil"/>
            </w:tcBorders>
            <w:vAlign w:val="bottom"/>
          </w:tcPr>
          <w:p w14:paraId="460A014D" w14:textId="0F3B9F66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28.06.2023 14:00 -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31549D1B" w14:textId="4F6A1EB3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ind w:left="-11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05.07.2023 14:00</w:t>
            </w:r>
          </w:p>
        </w:tc>
        <w:tc>
          <w:tcPr>
            <w:tcW w:w="1701" w:type="dxa"/>
          </w:tcPr>
          <w:p w14:paraId="161BEA14" w14:textId="1B243A9E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225 990,00 </w:t>
            </w:r>
          </w:p>
        </w:tc>
        <w:tc>
          <w:tcPr>
            <w:tcW w:w="1984" w:type="dxa"/>
          </w:tcPr>
          <w:p w14:paraId="47EFCFDE" w14:textId="25B3C01A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17 010,00 </w:t>
            </w:r>
          </w:p>
        </w:tc>
        <w:tc>
          <w:tcPr>
            <w:tcW w:w="1559" w:type="dxa"/>
          </w:tcPr>
          <w:p w14:paraId="56063FE1" w14:textId="2A8C8B4B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11 299,50 </w:t>
            </w:r>
          </w:p>
        </w:tc>
      </w:tr>
      <w:tr w:rsidR="003C30EC" w:rsidRPr="00992694" w14:paraId="2A670A6B" w14:textId="77777777" w:rsidTr="003C30EC">
        <w:tc>
          <w:tcPr>
            <w:tcW w:w="1838" w:type="dxa"/>
            <w:tcBorders>
              <w:right w:val="nil"/>
            </w:tcBorders>
            <w:vAlign w:val="bottom"/>
          </w:tcPr>
          <w:p w14:paraId="4B9E7E40" w14:textId="37F7A9CB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05.07.2023 14:00 -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2CE14E9B" w14:textId="72042FE5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ind w:left="-11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12.07.2023 14:00</w:t>
            </w:r>
          </w:p>
        </w:tc>
        <w:tc>
          <w:tcPr>
            <w:tcW w:w="1701" w:type="dxa"/>
          </w:tcPr>
          <w:p w14:paraId="5A91510C" w14:textId="32840610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208 980,00 </w:t>
            </w:r>
          </w:p>
        </w:tc>
        <w:tc>
          <w:tcPr>
            <w:tcW w:w="1984" w:type="dxa"/>
          </w:tcPr>
          <w:p w14:paraId="13DF10CE" w14:textId="795DBCBA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17 010,00 </w:t>
            </w:r>
          </w:p>
        </w:tc>
        <w:tc>
          <w:tcPr>
            <w:tcW w:w="1559" w:type="dxa"/>
          </w:tcPr>
          <w:p w14:paraId="6F946156" w14:textId="6155F3A9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10 449,00 </w:t>
            </w:r>
          </w:p>
        </w:tc>
      </w:tr>
      <w:tr w:rsidR="003C30EC" w:rsidRPr="00992694" w14:paraId="098E4B2B" w14:textId="77777777" w:rsidTr="003C30EC">
        <w:tc>
          <w:tcPr>
            <w:tcW w:w="1838" w:type="dxa"/>
            <w:tcBorders>
              <w:right w:val="nil"/>
            </w:tcBorders>
            <w:vAlign w:val="bottom"/>
          </w:tcPr>
          <w:p w14:paraId="073C6F97" w14:textId="4515DC64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12.07.2023 14:00 -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50D35050" w14:textId="2A8B53B0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ind w:left="-11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19.07.2023 14:00</w:t>
            </w:r>
          </w:p>
        </w:tc>
        <w:tc>
          <w:tcPr>
            <w:tcW w:w="1701" w:type="dxa"/>
          </w:tcPr>
          <w:p w14:paraId="55BCE2DB" w14:textId="503464ED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191 970,00 </w:t>
            </w:r>
          </w:p>
        </w:tc>
        <w:tc>
          <w:tcPr>
            <w:tcW w:w="1984" w:type="dxa"/>
          </w:tcPr>
          <w:p w14:paraId="4A57C493" w14:textId="49DBBB32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17 010,00 </w:t>
            </w:r>
          </w:p>
        </w:tc>
        <w:tc>
          <w:tcPr>
            <w:tcW w:w="1559" w:type="dxa"/>
          </w:tcPr>
          <w:p w14:paraId="241D0D27" w14:textId="536A921A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9 598,50 </w:t>
            </w:r>
          </w:p>
        </w:tc>
      </w:tr>
      <w:tr w:rsidR="003C30EC" w:rsidRPr="003C30EC" w14:paraId="145AF5B9" w14:textId="77777777" w:rsidTr="003C30EC">
        <w:tc>
          <w:tcPr>
            <w:tcW w:w="1838" w:type="dxa"/>
            <w:tcBorders>
              <w:right w:val="nil"/>
            </w:tcBorders>
            <w:vAlign w:val="bottom"/>
          </w:tcPr>
          <w:p w14:paraId="2A1DCAB1" w14:textId="794270D5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19.07.2023 14:00 -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113D8945" w14:textId="7B6625A5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ind w:left="-11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26.07.2023 14:00</w:t>
            </w:r>
          </w:p>
        </w:tc>
        <w:tc>
          <w:tcPr>
            <w:tcW w:w="1701" w:type="dxa"/>
          </w:tcPr>
          <w:p w14:paraId="00C7CCED" w14:textId="205CFEEE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1575">
              <w:rPr>
                <w:rFonts w:ascii="Times New Roman" w:hAnsi="Times New Roman" w:cs="Times New Roman"/>
                <w:sz w:val="20"/>
                <w:szCs w:val="20"/>
              </w:rPr>
              <w:t>174 960,00</w:t>
            </w: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C0D3DB3" w14:textId="35154082" w:rsidR="003C30EC" w:rsidRPr="00992694" w:rsidRDefault="003C30EC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694">
              <w:rPr>
                <w:rFonts w:ascii="Times New Roman" w:hAnsi="Times New Roman" w:cs="Times New Roman"/>
                <w:sz w:val="20"/>
                <w:szCs w:val="20"/>
              </w:rPr>
              <w:t xml:space="preserve"> 17 010,00 </w:t>
            </w:r>
          </w:p>
        </w:tc>
        <w:tc>
          <w:tcPr>
            <w:tcW w:w="1559" w:type="dxa"/>
          </w:tcPr>
          <w:p w14:paraId="7304A5D6" w14:textId="3087A981" w:rsidR="003C30EC" w:rsidRPr="003C30EC" w:rsidRDefault="00E11575" w:rsidP="003C30EC">
            <w:pPr>
              <w:tabs>
                <w:tab w:val="left" w:pos="7371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8 748,00</w:t>
            </w:r>
            <w:r w:rsidR="003C30EC" w:rsidRPr="003C3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D429928" w14:textId="3C308A09" w:rsidR="009D271A" w:rsidRDefault="009D271A" w:rsidP="00D51724">
      <w:pPr>
        <w:tabs>
          <w:tab w:val="left" w:pos="737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</w:p>
    <w:sectPr w:rsidR="009D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301489">
    <w:abstractNumId w:val="7"/>
  </w:num>
  <w:num w:numId="2" w16cid:durableId="892501026">
    <w:abstractNumId w:val="14"/>
  </w:num>
  <w:num w:numId="3" w16cid:durableId="501310874">
    <w:abstractNumId w:val="11"/>
  </w:num>
  <w:num w:numId="4" w16cid:durableId="860167999">
    <w:abstractNumId w:val="15"/>
  </w:num>
  <w:num w:numId="5" w16cid:durableId="2132823808">
    <w:abstractNumId w:val="5"/>
  </w:num>
  <w:num w:numId="6" w16cid:durableId="82842192">
    <w:abstractNumId w:val="3"/>
  </w:num>
  <w:num w:numId="7" w16cid:durableId="691228083">
    <w:abstractNumId w:val="4"/>
  </w:num>
  <w:num w:numId="8" w16cid:durableId="2025356142">
    <w:abstractNumId w:val="1"/>
  </w:num>
  <w:num w:numId="9" w16cid:durableId="7947532">
    <w:abstractNumId w:val="8"/>
  </w:num>
  <w:num w:numId="10" w16cid:durableId="1905555785">
    <w:abstractNumId w:val="10"/>
  </w:num>
  <w:num w:numId="11" w16cid:durableId="1031416657">
    <w:abstractNumId w:val="12"/>
  </w:num>
  <w:num w:numId="12" w16cid:durableId="782115025">
    <w:abstractNumId w:val="0"/>
  </w:num>
  <w:num w:numId="13" w16cid:durableId="2116317983">
    <w:abstractNumId w:val="9"/>
  </w:num>
  <w:num w:numId="14" w16cid:durableId="1133982658">
    <w:abstractNumId w:val="6"/>
  </w:num>
  <w:num w:numId="15" w16cid:durableId="1588881174">
    <w:abstractNumId w:val="13"/>
  </w:num>
  <w:num w:numId="16" w16cid:durableId="68409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1359"/>
    <w:rsid w:val="000426C7"/>
    <w:rsid w:val="00047FDA"/>
    <w:rsid w:val="00062E5F"/>
    <w:rsid w:val="00072F86"/>
    <w:rsid w:val="00086D9B"/>
    <w:rsid w:val="000E27E7"/>
    <w:rsid w:val="000F782A"/>
    <w:rsid w:val="001201D0"/>
    <w:rsid w:val="00142C54"/>
    <w:rsid w:val="00151AAE"/>
    <w:rsid w:val="001551C1"/>
    <w:rsid w:val="001743C2"/>
    <w:rsid w:val="00175745"/>
    <w:rsid w:val="00176626"/>
    <w:rsid w:val="00191E36"/>
    <w:rsid w:val="001A4F9E"/>
    <w:rsid w:val="001A5956"/>
    <w:rsid w:val="001A74F2"/>
    <w:rsid w:val="001C0ADC"/>
    <w:rsid w:val="001C136D"/>
    <w:rsid w:val="001C4FB4"/>
    <w:rsid w:val="001D5473"/>
    <w:rsid w:val="001E761F"/>
    <w:rsid w:val="00210691"/>
    <w:rsid w:val="00214B12"/>
    <w:rsid w:val="00214DD9"/>
    <w:rsid w:val="0022007D"/>
    <w:rsid w:val="00222ABB"/>
    <w:rsid w:val="002478AA"/>
    <w:rsid w:val="0025608B"/>
    <w:rsid w:val="002609D3"/>
    <w:rsid w:val="002668DD"/>
    <w:rsid w:val="00267776"/>
    <w:rsid w:val="002B070C"/>
    <w:rsid w:val="002D21EA"/>
    <w:rsid w:val="002D2F28"/>
    <w:rsid w:val="002D3014"/>
    <w:rsid w:val="0031156B"/>
    <w:rsid w:val="003154D9"/>
    <w:rsid w:val="0034218C"/>
    <w:rsid w:val="00344219"/>
    <w:rsid w:val="003720A3"/>
    <w:rsid w:val="00396672"/>
    <w:rsid w:val="003B2D37"/>
    <w:rsid w:val="003C0C02"/>
    <w:rsid w:val="003C30EC"/>
    <w:rsid w:val="003D71A1"/>
    <w:rsid w:val="003F2153"/>
    <w:rsid w:val="0040028D"/>
    <w:rsid w:val="0040536B"/>
    <w:rsid w:val="0046048C"/>
    <w:rsid w:val="00461000"/>
    <w:rsid w:val="0049312A"/>
    <w:rsid w:val="004A554B"/>
    <w:rsid w:val="004D1A3F"/>
    <w:rsid w:val="004F7F7B"/>
    <w:rsid w:val="00507E69"/>
    <w:rsid w:val="00507F73"/>
    <w:rsid w:val="00516C38"/>
    <w:rsid w:val="00522FAC"/>
    <w:rsid w:val="0054162F"/>
    <w:rsid w:val="005457F0"/>
    <w:rsid w:val="00554B2D"/>
    <w:rsid w:val="0057555C"/>
    <w:rsid w:val="00576ED6"/>
    <w:rsid w:val="00594A83"/>
    <w:rsid w:val="00595369"/>
    <w:rsid w:val="005A7EF6"/>
    <w:rsid w:val="005D2DDF"/>
    <w:rsid w:val="005E13A9"/>
    <w:rsid w:val="005E2DA9"/>
    <w:rsid w:val="00622837"/>
    <w:rsid w:val="00627042"/>
    <w:rsid w:val="006271D4"/>
    <w:rsid w:val="006367E9"/>
    <w:rsid w:val="006401D4"/>
    <w:rsid w:val="006514FC"/>
    <w:rsid w:val="006715B7"/>
    <w:rsid w:val="00672859"/>
    <w:rsid w:val="006912DB"/>
    <w:rsid w:val="006B1892"/>
    <w:rsid w:val="006B4690"/>
    <w:rsid w:val="006D72E8"/>
    <w:rsid w:val="006F0DF9"/>
    <w:rsid w:val="0071308B"/>
    <w:rsid w:val="00717A9F"/>
    <w:rsid w:val="007243B4"/>
    <w:rsid w:val="00736A36"/>
    <w:rsid w:val="0075048B"/>
    <w:rsid w:val="0076516D"/>
    <w:rsid w:val="007679DC"/>
    <w:rsid w:val="007B6D49"/>
    <w:rsid w:val="007C35DF"/>
    <w:rsid w:val="007D2DA0"/>
    <w:rsid w:val="007E60A5"/>
    <w:rsid w:val="007F0A2C"/>
    <w:rsid w:val="0082338B"/>
    <w:rsid w:val="00833D0C"/>
    <w:rsid w:val="00860D12"/>
    <w:rsid w:val="008615CC"/>
    <w:rsid w:val="00872207"/>
    <w:rsid w:val="008723EF"/>
    <w:rsid w:val="00874827"/>
    <w:rsid w:val="00884DC1"/>
    <w:rsid w:val="00886424"/>
    <w:rsid w:val="008A1E8D"/>
    <w:rsid w:val="008B2921"/>
    <w:rsid w:val="008C0CB8"/>
    <w:rsid w:val="008D5838"/>
    <w:rsid w:val="008D7335"/>
    <w:rsid w:val="008E111F"/>
    <w:rsid w:val="008F5CD5"/>
    <w:rsid w:val="009024E6"/>
    <w:rsid w:val="00903374"/>
    <w:rsid w:val="00922525"/>
    <w:rsid w:val="00935C3E"/>
    <w:rsid w:val="0094508C"/>
    <w:rsid w:val="00992694"/>
    <w:rsid w:val="00993C49"/>
    <w:rsid w:val="009B13F5"/>
    <w:rsid w:val="009B7CBF"/>
    <w:rsid w:val="009C6500"/>
    <w:rsid w:val="009D26C4"/>
    <w:rsid w:val="009D271A"/>
    <w:rsid w:val="009D6766"/>
    <w:rsid w:val="00A07D93"/>
    <w:rsid w:val="00A11B7A"/>
    <w:rsid w:val="00A32C3C"/>
    <w:rsid w:val="00A377BC"/>
    <w:rsid w:val="00A43773"/>
    <w:rsid w:val="00A57BC7"/>
    <w:rsid w:val="00A93082"/>
    <w:rsid w:val="00A94905"/>
    <w:rsid w:val="00AD7975"/>
    <w:rsid w:val="00AE27FE"/>
    <w:rsid w:val="00B0260A"/>
    <w:rsid w:val="00B13EA7"/>
    <w:rsid w:val="00B265CD"/>
    <w:rsid w:val="00B350D2"/>
    <w:rsid w:val="00B4122B"/>
    <w:rsid w:val="00B45D51"/>
    <w:rsid w:val="00B6235B"/>
    <w:rsid w:val="00B72FD2"/>
    <w:rsid w:val="00B806AB"/>
    <w:rsid w:val="00B80ADD"/>
    <w:rsid w:val="00B81106"/>
    <w:rsid w:val="00B85AA5"/>
    <w:rsid w:val="00B93ACA"/>
    <w:rsid w:val="00BC0F86"/>
    <w:rsid w:val="00BC7B2C"/>
    <w:rsid w:val="00BE754D"/>
    <w:rsid w:val="00C11002"/>
    <w:rsid w:val="00C11014"/>
    <w:rsid w:val="00C24E1B"/>
    <w:rsid w:val="00C27746"/>
    <w:rsid w:val="00C4425C"/>
    <w:rsid w:val="00C44945"/>
    <w:rsid w:val="00C53749"/>
    <w:rsid w:val="00C54EE9"/>
    <w:rsid w:val="00C830F3"/>
    <w:rsid w:val="00C8652B"/>
    <w:rsid w:val="00CA71D2"/>
    <w:rsid w:val="00CB1381"/>
    <w:rsid w:val="00CB37D2"/>
    <w:rsid w:val="00CB6DB6"/>
    <w:rsid w:val="00CD2A8F"/>
    <w:rsid w:val="00CF11E1"/>
    <w:rsid w:val="00CF15C5"/>
    <w:rsid w:val="00D079FD"/>
    <w:rsid w:val="00D22895"/>
    <w:rsid w:val="00D51724"/>
    <w:rsid w:val="00D56A40"/>
    <w:rsid w:val="00D8504F"/>
    <w:rsid w:val="00D91178"/>
    <w:rsid w:val="00D91CF9"/>
    <w:rsid w:val="00DA41D5"/>
    <w:rsid w:val="00DB0721"/>
    <w:rsid w:val="00DB0A7D"/>
    <w:rsid w:val="00DB7D55"/>
    <w:rsid w:val="00DC1397"/>
    <w:rsid w:val="00DD0AF4"/>
    <w:rsid w:val="00E04630"/>
    <w:rsid w:val="00E11575"/>
    <w:rsid w:val="00E12FAC"/>
    <w:rsid w:val="00E17893"/>
    <w:rsid w:val="00E40C61"/>
    <w:rsid w:val="00E441FA"/>
    <w:rsid w:val="00E751E3"/>
    <w:rsid w:val="00E7523A"/>
    <w:rsid w:val="00EA134E"/>
    <w:rsid w:val="00EC6BB8"/>
    <w:rsid w:val="00ED76DF"/>
    <w:rsid w:val="00EE0265"/>
    <w:rsid w:val="00EE1337"/>
    <w:rsid w:val="00EF116A"/>
    <w:rsid w:val="00F1077F"/>
    <w:rsid w:val="00F22A60"/>
    <w:rsid w:val="00F323D6"/>
    <w:rsid w:val="00F43B4D"/>
    <w:rsid w:val="00F55A39"/>
    <w:rsid w:val="00FA683D"/>
    <w:rsid w:val="00FB2486"/>
    <w:rsid w:val="00FB56BA"/>
    <w:rsid w:val="00FE5418"/>
    <w:rsid w:val="00FE662F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6394E094-732D-45CC-AC5F-4504A59D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  <w:lang w:val="x-none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">
    <w:name w:val="Grid Table Light"/>
    <w:basedOn w:val="a2"/>
    <w:uiPriority w:val="40"/>
    <w:rsid w:val="00A930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Егорова Александра Павловна</cp:lastModifiedBy>
  <cp:revision>31</cp:revision>
  <cp:lastPrinted>2019-07-08T08:38:00Z</cp:lastPrinted>
  <dcterms:created xsi:type="dcterms:W3CDTF">2021-07-05T07:39:00Z</dcterms:created>
  <dcterms:modified xsi:type="dcterms:W3CDTF">2023-05-18T09:02:00Z</dcterms:modified>
</cp:coreProperties>
</file>