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7FDB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68360818" w14:textId="7CF3522F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  <w:r w:rsidR="00376ADD">
        <w:rPr>
          <w:rFonts w:ascii="Verdana" w:hAnsi="Verdana"/>
          <w:b/>
          <w:sz w:val="20"/>
        </w:rPr>
        <w:t xml:space="preserve"> </w:t>
      </w:r>
      <w:r w:rsidR="00707557">
        <w:rPr>
          <w:rFonts w:ascii="Verdana" w:hAnsi="Verdana"/>
          <w:b/>
          <w:sz w:val="20"/>
        </w:rPr>
        <w:t>купли-продажи имущества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92776E5" w14:textId="77777777" w:rsidR="00376ADD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55982" w14:textId="7C5CA4B4" w:rsidR="00B83979" w:rsidRPr="008509DF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5978B73" w14:textId="3B227D69" w:rsidR="00376ADD" w:rsidRPr="00224F8A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76ADD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76ADD" w:rsidRPr="00224F8A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224F8A" w14:paraId="495AA595" w14:textId="77777777" w:rsidTr="00376ADD">
        <w:tc>
          <w:tcPr>
            <w:tcW w:w="9498" w:type="dxa"/>
          </w:tcPr>
          <w:p w14:paraId="01CDA5B4" w14:textId="77777777" w:rsidR="00376ADD" w:rsidRPr="00224F8A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224F8A" w14:paraId="517E17EB" w14:textId="77777777" w:rsidTr="00376ADD">
        <w:trPr>
          <w:trHeight w:val="224"/>
        </w:trPr>
        <w:tc>
          <w:tcPr>
            <w:tcW w:w="9498" w:type="dxa"/>
          </w:tcPr>
          <w:p w14:paraId="358F3201" w14:textId="77777777" w:rsidR="00376ADD" w:rsidRPr="00224F8A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4037562D" w14:textId="0EB00DC2" w:rsidR="0028544D" w:rsidRPr="00224F8A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имущества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707557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52B4BAD6" w14:textId="77777777" w:rsidR="00785505" w:rsidRDefault="00BD7FC5" w:rsidP="00785505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 и оплатить</w:t>
      </w:r>
      <w:r w:rsidR="00785505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6ABAA1CF" w14:textId="571A576D" w:rsidR="00246FAD" w:rsidRPr="002206C7" w:rsidRDefault="00785505" w:rsidP="00FF2031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ежилое здание, назначение: нежилое здание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кадастровый номер 77:06:0008002:1045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общей площадью 29 984 кв.м.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количество этажей, в том числе подземных этажей: 5, в том числе подземных 1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адрес (местонахождение): г. Москва, ул. Обручева, д.52, стр.3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Нежилое здание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расположенное на земельном участке общей площадью 15 865 ± 44 кв.м., с кадастровым номером 77:06:0008002:1004, </w:t>
      </w:r>
      <w:r w:rsidR="00254040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</w:t>
      </w:r>
      <w:r w:rsidR="0025404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принадлежащем Продавцу на праве аренды на основании Договора аренды земельного участка №М-06-036364 от 21.11.2011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Земельный участок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</w:p>
    <w:p w14:paraId="37891147" w14:textId="159F74F9" w:rsidR="00785505" w:rsidRDefault="002206C7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З</w:t>
      </w:r>
      <w:r w:rsidR="003F01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емельный участок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принадлежит Продавцу на праве аренды на основании Договора аренды земельного участка №М-06-036364 от 21.11.2011</w:t>
      </w:r>
      <w:r w:rsidR="00B3796D" w:rsidRP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между Продавцом (арендатор) и Департаментом городского имущества города Москвы (арендодатель)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lastRenderedPageBreak/>
        <w:t>(с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рок аренды: до 19.08.2060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), с учетом Дополнительного соглашения от 20.07.2021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что подтверждается выпиской из ЕГРН от 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04.08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.2022 № 99/2022/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485214218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Одновременно с переходом к Покупателю права собственности на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ежилое здание в силу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п.3 ст.552 Гражданского кодекса Российской Федерации и ст.35 Земельного кодекса Российской Федерации 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Покупатель приобретает право на использование земельного участка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9B5B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</w:p>
    <w:p w14:paraId="18EE425B" w14:textId="77777777" w:rsidR="009B5BDF" w:rsidRDefault="009B5BDF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</w:p>
    <w:p w14:paraId="3BBF5A9A" w14:textId="0CBB3A18" w:rsidR="00E74C5A" w:rsidRPr="00DA05D7" w:rsidRDefault="00E74C5A" w:rsidP="00E74C5A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Движимое имущество, перечень которого указан в Приложении №1 к Договору.</w:t>
      </w:r>
    </w:p>
    <w:p w14:paraId="7E5C715B" w14:textId="37725E26" w:rsidR="00171986" w:rsidRDefault="00171986" w:rsidP="00205F4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2206C7">
        <w:rPr>
          <w:rFonts w:ascii="Verdana" w:hAnsi="Verdana" w:cs="Times New Roman"/>
        </w:rPr>
        <w:t>(</w:t>
      </w:r>
      <w:r w:rsidR="00205F4F">
        <w:rPr>
          <w:rFonts w:ascii="Verdana" w:hAnsi="Verdana" w:cs="Times New Roman"/>
        </w:rPr>
        <w:t>Имущество, перечисленное в п.1.1.1</w:t>
      </w:r>
      <w:r w:rsidR="00254040">
        <w:rPr>
          <w:rFonts w:ascii="Verdana" w:hAnsi="Verdana" w:cs="Times New Roman"/>
        </w:rPr>
        <w:t xml:space="preserve"> и</w:t>
      </w:r>
      <w:r w:rsidR="00205F4F">
        <w:rPr>
          <w:rFonts w:ascii="Verdana" w:hAnsi="Verdana" w:cs="Times New Roman"/>
        </w:rPr>
        <w:t xml:space="preserve"> п.1.1.2 </w:t>
      </w:r>
      <w:r w:rsidRPr="002206C7">
        <w:rPr>
          <w:rFonts w:ascii="Verdana" w:hAnsi="Verdana" w:cs="Times New Roman"/>
        </w:rPr>
        <w:t xml:space="preserve">далее </w:t>
      </w:r>
      <w:r w:rsidR="002206C7" w:rsidRPr="002206C7">
        <w:rPr>
          <w:rFonts w:ascii="Verdana" w:hAnsi="Verdana" w:cs="Times New Roman"/>
        </w:rPr>
        <w:t>совместно</w:t>
      </w:r>
      <w:r w:rsidR="00205F4F">
        <w:rPr>
          <w:rFonts w:ascii="Verdana" w:hAnsi="Verdana" w:cs="Times New Roman"/>
        </w:rPr>
        <w:t xml:space="preserve"> именуется</w:t>
      </w:r>
      <w:r w:rsidRPr="002206C7">
        <w:rPr>
          <w:rFonts w:ascii="Verdana" w:hAnsi="Verdana" w:cs="Times New Roman"/>
        </w:rPr>
        <w:t xml:space="preserve"> – «</w:t>
      </w:r>
      <w:r w:rsidR="00E74C5A" w:rsidRPr="002206C7">
        <w:rPr>
          <w:rFonts w:ascii="Verdana" w:hAnsi="Verdana" w:cs="Times New Roman"/>
          <w:b/>
        </w:rPr>
        <w:t>И</w:t>
      </w:r>
      <w:r w:rsidRPr="002206C7">
        <w:rPr>
          <w:rFonts w:ascii="Verdana" w:hAnsi="Verdana" w:cs="Times New Roman"/>
          <w:b/>
        </w:rPr>
        <w:t>мущество</w:t>
      </w:r>
      <w:r w:rsidRPr="002206C7">
        <w:rPr>
          <w:rFonts w:ascii="Verdana" w:hAnsi="Verdana" w:cs="Times New Roman"/>
        </w:rPr>
        <w:t>»).</w:t>
      </w:r>
    </w:p>
    <w:p w14:paraId="10A31016" w14:textId="77777777" w:rsidR="005A49E0" w:rsidRPr="005A49E0" w:rsidRDefault="00DA18AF" w:rsidP="00DA18AF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DA18AF">
        <w:rPr>
          <w:rFonts w:ascii="Verdana" w:hAnsi="Verdana"/>
          <w:color w:val="000000" w:themeColor="text1"/>
        </w:rPr>
        <w:t>Нежилое здание принадлежит Продавцу на праве собственности на основании</w:t>
      </w:r>
      <w:r w:rsidR="005A49E0">
        <w:rPr>
          <w:rFonts w:ascii="Verdana" w:hAnsi="Verdana"/>
          <w:color w:val="000000" w:themeColor="text1"/>
        </w:rPr>
        <w:t>:</w:t>
      </w:r>
    </w:p>
    <w:p w14:paraId="566339D9" w14:textId="6EE06AC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 xml:space="preserve">Договора </w:t>
      </w:r>
      <w:r>
        <w:rPr>
          <w:rFonts w:ascii="Verdana" w:hAnsi="Verdana"/>
          <w:color w:val="000000" w:themeColor="text1"/>
        </w:rPr>
        <w:t>купли-продажи №1 от 20.12.2019 между Банком «ТРАСТ» (ПАО), выступающим в качестве покупателя, и ООО «БЦ Обручева»</w:t>
      </w:r>
      <w:r w:rsidR="00DA18AF" w:rsidRPr="005A49E0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выступающим в качестве продавца;</w:t>
      </w:r>
    </w:p>
    <w:p w14:paraId="02503B1D" w14:textId="6E24928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>Дополнительного соглашения от 10.03.2020 к Договор</w:t>
      </w:r>
      <w:r>
        <w:rPr>
          <w:rFonts w:ascii="Verdana" w:hAnsi="Verdana"/>
          <w:color w:val="000000" w:themeColor="text1"/>
        </w:rPr>
        <w:t>у</w:t>
      </w:r>
      <w:r w:rsidRPr="005A49E0">
        <w:rPr>
          <w:rFonts w:ascii="Verdana" w:hAnsi="Verdana"/>
          <w:color w:val="000000" w:themeColor="text1"/>
        </w:rPr>
        <w:t xml:space="preserve"> купли-продажи №1 от 20.12.2019 между Банком «ТРАСТ» (ПАО), выступающим в качестве покупателя, и ООО «БЦ Обручева», выступающим в качестве продавца</w:t>
      </w:r>
      <w:r>
        <w:rPr>
          <w:rFonts w:ascii="Verdana" w:hAnsi="Verdana"/>
          <w:color w:val="000000" w:themeColor="text1"/>
        </w:rPr>
        <w:t>;</w:t>
      </w:r>
    </w:p>
    <w:p w14:paraId="0C16E7B1" w14:textId="706936DE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 w:rsidRPr="005A49E0">
        <w:rPr>
          <w:rFonts w:ascii="Verdana" w:hAnsi="Verdana"/>
          <w:color w:val="000000" w:themeColor="text1"/>
        </w:rPr>
        <w:t>Решения Арбитражного суда города Москвы от 24.03.2021 по объединенному делу № А40-215962/20-121-1100 и № А40-18075/21-139-126</w:t>
      </w:r>
      <w:r>
        <w:rPr>
          <w:rFonts w:ascii="Verdana" w:hAnsi="Verdana"/>
          <w:color w:val="000000" w:themeColor="text1"/>
        </w:rPr>
        <w:t>,</w:t>
      </w:r>
    </w:p>
    <w:p w14:paraId="2DC20A03" w14:textId="596132F8" w:rsidR="00DA18AF" w:rsidRDefault="00DA18AF" w:rsidP="005A49E0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/>
          <w:color w:val="000000" w:themeColor="text1"/>
        </w:rPr>
      </w:pPr>
      <w:r w:rsidRPr="00DA18AF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№77:06:0008002:1045-77/051/2021-12 от 07.04.2021, что подтверждается Выпиской из Единого государственного реестра недвижимости от </w:t>
      </w:r>
      <w:r w:rsidR="009A54DF">
        <w:rPr>
          <w:rFonts w:ascii="Verdana" w:hAnsi="Verdana"/>
          <w:color w:val="000000" w:themeColor="text1"/>
        </w:rPr>
        <w:t>04.08</w:t>
      </w:r>
      <w:r w:rsidRPr="00DA18AF">
        <w:rPr>
          <w:rFonts w:ascii="Verdana" w:hAnsi="Verdana"/>
          <w:color w:val="000000" w:themeColor="text1"/>
        </w:rPr>
        <w:t>.2022 №99/2022/</w:t>
      </w:r>
      <w:r w:rsidR="009A54DF">
        <w:rPr>
          <w:rFonts w:ascii="Verdana" w:hAnsi="Verdana"/>
          <w:color w:val="000000" w:themeColor="text1"/>
        </w:rPr>
        <w:t>485210010</w:t>
      </w:r>
      <w:r w:rsidRPr="00DA18AF">
        <w:rPr>
          <w:rFonts w:ascii="Verdana" w:hAnsi="Verdana"/>
          <w:color w:val="000000" w:themeColor="text1"/>
        </w:rPr>
        <w:t>.</w:t>
      </w:r>
    </w:p>
    <w:p w14:paraId="2EE49ED7" w14:textId="3992B817" w:rsidR="00171986" w:rsidRPr="008509DF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>
        <w:rPr>
          <w:rFonts w:ascii="Verdana" w:hAnsi="Verdana" w:cs="Times New Roman"/>
        </w:rPr>
        <w:t>оссийской Федерации</w:t>
      </w:r>
      <w:r w:rsidRPr="008509DF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57D34220" w14:textId="77777777" w:rsidR="00205F4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4808E14A" w14:textId="2E499483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17B79E84" w14:textId="24F2DC0B" w:rsidR="000E2F36" w:rsidRPr="008509DF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>
              <w:rPr>
                <w:rFonts w:ascii="Verdana" w:hAnsi="Verdana"/>
                <w:bCs/>
              </w:rPr>
              <w:t>оссийской Федерации</w:t>
            </w:r>
            <w:r w:rsidRPr="008509DF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50D4406C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5B6179A0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06B535C1" w:rsidR="00761DF7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1.5. </w:t>
      </w:r>
      <w:r w:rsidRPr="00224F8A">
        <w:rPr>
          <w:rFonts w:ascii="Verdana" w:hAnsi="Verdana"/>
        </w:rPr>
        <w:t xml:space="preserve">На дату подписания Договора </w:t>
      </w:r>
      <w:r w:rsidR="00F32535">
        <w:rPr>
          <w:rFonts w:ascii="Verdana" w:hAnsi="Verdana"/>
        </w:rPr>
        <w:t>Имущество</w:t>
      </w:r>
      <w:r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>не отчужден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не заложен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в споре и под арестом не состо</w:t>
      </w:r>
      <w:r w:rsidR="00F32535">
        <w:rPr>
          <w:rFonts w:ascii="Verdana" w:hAnsi="Verdana"/>
        </w:rPr>
        <w:t>ит</w:t>
      </w:r>
      <w:r w:rsidRPr="00224F8A">
        <w:rPr>
          <w:rFonts w:ascii="Verdana" w:hAnsi="Verdana"/>
        </w:rPr>
        <w:t>, прав</w:t>
      </w:r>
      <w:r>
        <w:rPr>
          <w:rFonts w:ascii="Verdana" w:hAnsi="Verdana"/>
        </w:rPr>
        <w:t>а</w:t>
      </w:r>
      <w:r w:rsidRPr="00224F8A">
        <w:rPr>
          <w:rFonts w:ascii="Verdana" w:hAnsi="Verdana"/>
        </w:rPr>
        <w:t xml:space="preserve"> на </w:t>
      </w:r>
      <w:r w:rsidR="00F32535">
        <w:rPr>
          <w:rFonts w:ascii="Verdana" w:hAnsi="Verdana"/>
        </w:rPr>
        <w:t xml:space="preserve">Имущество </w:t>
      </w:r>
      <w:r w:rsidRPr="00224F8A">
        <w:rPr>
          <w:rFonts w:ascii="Verdana" w:hAnsi="Verdana"/>
        </w:rPr>
        <w:t>не являются предметом судебного спора</w:t>
      </w:r>
      <w:r>
        <w:rPr>
          <w:rFonts w:ascii="Verdana" w:hAnsi="Verdana"/>
        </w:rPr>
        <w:t>.</w:t>
      </w:r>
    </w:p>
    <w:p w14:paraId="3ECBF475" w14:textId="7C288F8A" w:rsidR="00503658" w:rsidRDefault="002206C7" w:rsidP="0050365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1.6. </w:t>
      </w:r>
      <w:r w:rsidR="003F012D">
        <w:rPr>
          <w:rFonts w:ascii="Verdana" w:hAnsi="Verdana" w:cs="Times New Roman"/>
        </w:rPr>
        <w:t xml:space="preserve">На дату </w:t>
      </w:r>
      <w:r w:rsidR="003F012D" w:rsidRPr="00224F8A">
        <w:rPr>
          <w:rFonts w:ascii="Verdana" w:hAnsi="Verdana"/>
        </w:rPr>
        <w:t xml:space="preserve">подписания Договора </w:t>
      </w:r>
      <w:r w:rsidR="00C04425">
        <w:rPr>
          <w:rFonts w:ascii="Verdana" w:hAnsi="Verdana"/>
        </w:rPr>
        <w:t>Имущество</w:t>
      </w:r>
      <w:r w:rsidR="003F012D" w:rsidRPr="00224F8A">
        <w:rPr>
          <w:rFonts w:ascii="Verdana" w:hAnsi="Verdana"/>
        </w:rPr>
        <w:t xml:space="preserve"> не обременено правами третьих лиц, кроме как</w:t>
      </w:r>
      <w:r w:rsidR="00503658">
        <w:rPr>
          <w:rFonts w:ascii="Verdana" w:hAnsi="Verdana"/>
        </w:rPr>
        <w:t>:</w:t>
      </w:r>
    </w:p>
    <w:p w14:paraId="2DEFB41B" w14:textId="0DF0CD6F" w:rsidR="003F012D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>П</w:t>
      </w:r>
      <w:r w:rsidR="003F012D" w:rsidRPr="00224F8A">
        <w:rPr>
          <w:rFonts w:ascii="Verdana" w:hAnsi="Verdana"/>
        </w:rPr>
        <w:t xml:space="preserve">равами аренды, а именно: </w:t>
      </w:r>
      <w:r w:rsidR="003F012D" w:rsidRPr="00224F8A">
        <w:rPr>
          <w:rFonts w:ascii="Verdana" w:hAnsi="Verdana" w:cs="Times New Roman"/>
        </w:rPr>
        <w:t xml:space="preserve">в отношении </w:t>
      </w:r>
      <w:r w:rsidR="003F012D">
        <w:rPr>
          <w:rFonts w:ascii="Verdana" w:hAnsi="Verdana" w:cs="Times New Roman"/>
        </w:rPr>
        <w:t>Нежилого здания</w:t>
      </w:r>
      <w:r w:rsidR="003F012D" w:rsidRPr="00224F8A">
        <w:rPr>
          <w:rFonts w:ascii="Verdana" w:hAnsi="Verdana" w:cs="Times New Roman"/>
        </w:rPr>
        <w:t xml:space="preserve"> заключены договоры аренды</w:t>
      </w:r>
      <w:r w:rsidR="003F012D" w:rsidRPr="00224F8A">
        <w:rPr>
          <w:rFonts w:ascii="Verdana" w:hAnsi="Verdana" w:cs="Times New Roman"/>
          <w:color w:val="000000" w:themeColor="text1"/>
        </w:rPr>
        <w:t xml:space="preserve">, перечисленные в Приложении </w:t>
      </w:r>
      <w:r w:rsidR="003F012D" w:rsidRPr="003F012D">
        <w:rPr>
          <w:rFonts w:ascii="Verdana" w:hAnsi="Verdana"/>
        </w:rPr>
        <w:t>№4 к</w:t>
      </w:r>
      <w:r w:rsidR="003F012D" w:rsidRPr="00224F8A">
        <w:rPr>
          <w:rFonts w:ascii="Verdana" w:hAnsi="Verdana" w:cs="Times New Roman"/>
          <w:color w:val="000000" w:themeColor="text1"/>
        </w:rPr>
        <w:t xml:space="preserve"> Договору</w:t>
      </w:r>
      <w:r w:rsidR="003F012D">
        <w:rPr>
          <w:rFonts w:ascii="Verdana" w:hAnsi="Verdana" w:cs="Times New Roman"/>
          <w:color w:val="000000" w:themeColor="text1"/>
        </w:rPr>
        <w:t>.</w:t>
      </w:r>
    </w:p>
    <w:p w14:paraId="258A998F" w14:textId="28CD1ADF" w:rsidR="00503658" w:rsidRP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Нежилом здании </w:t>
      </w:r>
      <w:r>
        <w:rPr>
          <w:rFonts w:ascii="Verdana" w:hAnsi="Verdana"/>
        </w:rPr>
        <w:t>торгово-сервисного аппарата по продаже горячих напитков на основании Договора № ОБ-30/10 возмездного оказания услуг по предоставлению возможности размещения торгового аппарата на территории делового центра от 30.10.2015 (с учетом Дополнительного соглашения №1 от 12.02.2018, Дополнительного соглашения №2 от 20.12.2018, Дополнительного соглашения №3 от 14.12.2020)</w:t>
      </w:r>
      <w:r w:rsidR="00C04425">
        <w:rPr>
          <w:rFonts w:ascii="Verdana" w:hAnsi="Verdana"/>
        </w:rPr>
        <w:t xml:space="preserve"> между ИП Горбунов В.В</w:t>
      </w:r>
      <w:r>
        <w:rPr>
          <w:rFonts w:ascii="Verdana" w:hAnsi="Verdana"/>
        </w:rPr>
        <w:t>.</w:t>
      </w:r>
      <w:r w:rsidR="00C04425">
        <w:rPr>
          <w:rFonts w:ascii="Verdana" w:hAnsi="Verdana"/>
        </w:rPr>
        <w:t xml:space="preserve"> и Продавцом.</w:t>
      </w:r>
    </w:p>
    <w:p w14:paraId="6A05C342" w14:textId="5C6C9788" w:rsid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пределах Нежилого здания, его конструктивных элементов (кровля), </w:t>
      </w:r>
      <w:r>
        <w:rPr>
          <w:rFonts w:ascii="Verdana" w:hAnsi="Verdana"/>
        </w:rPr>
        <w:t xml:space="preserve">телекоммуникационного оборудования </w:t>
      </w:r>
      <w:r w:rsidR="00C04425">
        <w:rPr>
          <w:rFonts w:ascii="Verdana" w:hAnsi="Verdana"/>
        </w:rPr>
        <w:t xml:space="preserve">на основании Договора № 2-77-70-0119/25Ю-04093/13-203Р возмездного оказания услуг по предоставлению возможности размещения телекоммуникационного оборудования на территории делового центра от 27.01.2014 (с учетом Дополнительного соглашения №1 от 20.12.2018, Дополнительного соглашения №2 от 04.02.2021) между ООО «Т2 Мобайл» и Продавцом. </w:t>
      </w:r>
      <w:r>
        <w:rPr>
          <w:rFonts w:ascii="Verdana" w:hAnsi="Verdana"/>
        </w:rPr>
        <w:t xml:space="preserve">  </w:t>
      </w:r>
    </w:p>
    <w:p w14:paraId="47617898" w14:textId="7EE71327" w:rsidR="003F012D" w:rsidRDefault="00C04425" w:rsidP="00C04425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В</w:t>
      </w:r>
      <w:r w:rsidR="003F012D">
        <w:rPr>
          <w:rFonts w:ascii="Verdana" w:hAnsi="Verdana" w:cs="Times New Roman"/>
          <w:color w:val="000000" w:themeColor="text1"/>
        </w:rPr>
        <w:t xml:space="preserve"> пределах </w:t>
      </w:r>
      <w:r w:rsidR="002206C7">
        <w:rPr>
          <w:rFonts w:ascii="Verdana" w:hAnsi="Verdana" w:cs="Times New Roman"/>
          <w:color w:val="000000" w:themeColor="text1"/>
        </w:rPr>
        <w:t>З</w:t>
      </w:r>
      <w:r w:rsidR="003F012D">
        <w:rPr>
          <w:rFonts w:ascii="Verdana" w:hAnsi="Verdana" w:cs="Times New Roman"/>
          <w:color w:val="000000" w:themeColor="text1"/>
        </w:rPr>
        <w:t xml:space="preserve">емельного участка </w:t>
      </w:r>
      <w:r w:rsidR="002206C7">
        <w:rPr>
          <w:rFonts w:ascii="Verdana" w:hAnsi="Verdana" w:cs="Times New Roman"/>
          <w:color w:val="000000" w:themeColor="text1"/>
        </w:rPr>
        <w:t>расположены: сооружение с кадастровым номером 77:06:0008002:1282 (канализация самотечная) и сооружение с кадастровым номером 77:06:0008002:1278 (водосток самотечный) без оформления договорных отношений и установления сервитута.</w:t>
      </w:r>
    </w:p>
    <w:p w14:paraId="6DC46F05" w14:textId="34CF4724" w:rsidR="002206C7" w:rsidRDefault="002206C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1.7.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</w:t>
      </w:r>
      <w:r w:rsidRPr="009B5BDF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05F4F" w:rsidRPr="009B5BDF">
        <w:rPr>
          <w:rFonts w:ascii="Verdana" w:hAnsi="Verdana" w:cs="Verdana"/>
          <w:color w:val="000000"/>
        </w:rPr>
        <w:t>И</w:t>
      </w:r>
      <w:r w:rsidRPr="009B5BDF">
        <w:rPr>
          <w:rFonts w:ascii="Verdana" w:hAnsi="Verdana" w:cs="Verdana"/>
          <w:color w:val="000000"/>
        </w:rPr>
        <w:t xml:space="preserve">мущество, изучил документацию на </w:t>
      </w:r>
      <w:r w:rsidR="00205F4F" w:rsidRPr="009B5BDF">
        <w:rPr>
          <w:rFonts w:ascii="Verdana" w:hAnsi="Verdana" w:cs="Verdana"/>
          <w:color w:val="000000"/>
        </w:rPr>
        <w:t>И</w:t>
      </w:r>
      <w:r>
        <w:rPr>
          <w:rFonts w:ascii="Verdana" w:hAnsi="Verdana" w:cs="Verdana"/>
          <w:color w:val="000000"/>
        </w:rPr>
        <w:t>мущество, включая документацию, связанную с арендой Земельного участка, не обнаружил каких-либо существенных дефектов и недостатков</w:t>
      </w:r>
      <w:r w:rsidRPr="002206C7">
        <w:rPr>
          <w:rFonts w:ascii="Verdana" w:hAnsi="Verdana" w:cs="Verdana"/>
          <w:color w:val="000000"/>
        </w:rPr>
        <w:t xml:space="preserve">, </w:t>
      </w:r>
      <w:r w:rsidRPr="002206C7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2206C7">
        <w:rPr>
          <w:rFonts w:ascii="Verdana" w:hAnsi="Verdana" w:cs="Verdana"/>
          <w:color w:val="000000"/>
        </w:rPr>
        <w:t xml:space="preserve">, которые могли бы повлиять на решение о покупке и цене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>мущества</w:t>
      </w:r>
      <w:r>
        <w:rPr>
          <w:rFonts w:ascii="Verdana" w:hAnsi="Verdana" w:cs="Verdana"/>
          <w:color w:val="000000"/>
        </w:rPr>
        <w:t>. Имущество соответствует требованиям Покупателя,</w:t>
      </w:r>
      <w:r w:rsidRPr="002206C7">
        <w:rPr>
          <w:rFonts w:ascii="Verdana" w:hAnsi="Verdana" w:cs="Verdana"/>
          <w:color w:val="000000"/>
        </w:rPr>
        <w:t xml:space="preserve"> претензий по состоянию, качеству и характеристикам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 xml:space="preserve">мущества, </w:t>
      </w:r>
      <w:r w:rsidR="001116FB">
        <w:rPr>
          <w:rFonts w:ascii="Verdana" w:hAnsi="Verdana" w:cs="Verdana"/>
          <w:color w:val="000000"/>
        </w:rPr>
        <w:t xml:space="preserve">к документации на Имущество, </w:t>
      </w:r>
      <w:r w:rsidRPr="002206C7">
        <w:rPr>
          <w:rFonts w:ascii="Verdana" w:hAnsi="Verdana"/>
          <w:color w:val="000000" w:themeColor="text1"/>
        </w:rPr>
        <w:t xml:space="preserve">в том числе </w:t>
      </w:r>
      <w:r w:rsidRPr="002206C7">
        <w:rPr>
          <w:rFonts w:ascii="Verdana" w:hAnsi="Verdana"/>
        </w:rPr>
        <w:t xml:space="preserve">по арендным отношениям в отношении </w:t>
      </w:r>
      <w:r w:rsidR="001116FB">
        <w:rPr>
          <w:rFonts w:ascii="Verdana" w:hAnsi="Verdana"/>
        </w:rPr>
        <w:t>З</w:t>
      </w:r>
      <w:r w:rsidRPr="002206C7">
        <w:rPr>
          <w:rFonts w:ascii="Verdana" w:hAnsi="Verdana"/>
        </w:rPr>
        <w:t>емельного участка</w:t>
      </w:r>
      <w:r w:rsidRPr="002206C7">
        <w:rPr>
          <w:rFonts w:ascii="Verdana" w:hAnsi="Verdana"/>
          <w:color w:val="000000" w:themeColor="text1"/>
        </w:rPr>
        <w:t>,</w:t>
      </w:r>
      <w:r w:rsidRPr="002206C7">
        <w:rPr>
          <w:rFonts w:ascii="Verdana" w:hAnsi="Verdana" w:cs="Verdana"/>
          <w:color w:val="000000"/>
        </w:rPr>
        <w:t xml:space="preserve"> Покупатель к Продавцу</w:t>
      </w:r>
      <w:r>
        <w:rPr>
          <w:rFonts w:ascii="Verdana" w:hAnsi="Verdana" w:cs="Verdana"/>
          <w:color w:val="000000"/>
        </w:rPr>
        <w:t xml:space="preserve"> не имеет. </w:t>
      </w:r>
      <w:r w:rsidR="001116FB">
        <w:rPr>
          <w:rFonts w:ascii="Verdana" w:hAnsi="Verdana" w:cs="Verdana"/>
          <w:color w:val="000000"/>
        </w:rPr>
        <w:t>Покупатель осознает, что фактическое состояние Нежилого здания может потребовать проведение мероприятий, связанных с актуализацией сведений в ЕГРН.</w:t>
      </w:r>
    </w:p>
    <w:p w14:paraId="1D0B7BD6" w14:textId="77777777" w:rsidR="00930C3B" w:rsidRDefault="00930C3B" w:rsidP="001116F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380FBE7E" w:rsidR="00E2774D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 w:rsidR="003F612D">
        <w:rPr>
          <w:rFonts w:ascii="Verdana" w:hAnsi="Verdana"/>
        </w:rPr>
        <w:t>И</w:t>
      </w:r>
      <w:r w:rsidRPr="008509DF">
        <w:rPr>
          <w:rFonts w:ascii="Verdana" w:hAnsi="Verdana"/>
        </w:rPr>
        <w:t xml:space="preserve">мущества составляет </w:t>
      </w:r>
      <w:r w:rsidR="003F612D" w:rsidRPr="003F612D">
        <w:rPr>
          <w:rFonts w:ascii="Verdana" w:hAnsi="Verdana"/>
        </w:rPr>
        <w:t>____________________ (__________________) рублей ___ копеек (в том числе НДС, исчисленный в соответствии с действующим законодательством</w:t>
      </w:r>
      <w:r w:rsidR="0018779F">
        <w:rPr>
          <w:rFonts w:ascii="Verdana" w:hAnsi="Verdana"/>
        </w:rPr>
        <w:t xml:space="preserve"> Российской Федерации</w:t>
      </w:r>
      <w:r w:rsidR="003F612D" w:rsidRPr="003F612D">
        <w:rPr>
          <w:rFonts w:ascii="Verdana" w:hAnsi="Verdana"/>
        </w:rPr>
        <w:t>)</w:t>
      </w:r>
      <w:r w:rsidR="003F612D">
        <w:rPr>
          <w:rFonts w:ascii="Verdana" w:hAnsi="Verdana"/>
        </w:rPr>
        <w:t>, в том числе:</w:t>
      </w:r>
    </w:p>
    <w:p w14:paraId="6EAB9C21" w14:textId="75C52FAA" w:rsidR="003F612D" w:rsidRDefault="003F612D" w:rsidP="003F612D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3F612D" w:rsidRPr="000115C6" w14:paraId="6BF24E40" w14:textId="77777777" w:rsidTr="00BE2954">
        <w:trPr>
          <w:trHeight w:val="229"/>
        </w:trPr>
        <w:tc>
          <w:tcPr>
            <w:tcW w:w="647" w:type="dxa"/>
          </w:tcPr>
          <w:p w14:paraId="3A227F9A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8860C4A" w14:textId="34920FE6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29924874" w14:textId="6BD58736" w:rsidR="003F612D" w:rsidRPr="003F612D" w:rsidRDefault="00CB6199" w:rsidP="00CB6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F612D" w:rsidRPr="000115C6" w14:paraId="4A1DF29B" w14:textId="77777777" w:rsidTr="00BE2954">
        <w:trPr>
          <w:trHeight w:val="229"/>
        </w:trPr>
        <w:tc>
          <w:tcPr>
            <w:tcW w:w="647" w:type="dxa"/>
          </w:tcPr>
          <w:p w14:paraId="49B0CB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1E7667A8" w14:textId="24B7C939" w:rsidR="003F612D" w:rsidRPr="003F612D" w:rsidRDefault="003F612D" w:rsidP="00CB6199">
            <w:pPr>
              <w:suppressAutoHyphens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Нежилое здание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61906-00013</w:t>
            </w:r>
          </w:p>
        </w:tc>
        <w:tc>
          <w:tcPr>
            <w:tcW w:w="1701" w:type="dxa"/>
          </w:tcPr>
          <w:p w14:paraId="3F736CB3" w14:textId="70A038D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3E0FBC7" w14:textId="77777777" w:rsidTr="00BE2954">
        <w:trPr>
          <w:trHeight w:val="229"/>
        </w:trPr>
        <w:tc>
          <w:tcPr>
            <w:tcW w:w="647" w:type="dxa"/>
          </w:tcPr>
          <w:p w14:paraId="79F10D8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2FA00EF7" w14:textId="1FA078A7" w:rsidR="003F612D" w:rsidRPr="003F612D" w:rsidRDefault="003F612D" w:rsidP="00213BE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Право аренды на </w:t>
            </w:r>
            <w:r w:rsidR="00CB6199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З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емельный участок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</w:t>
            </w:r>
          </w:p>
        </w:tc>
        <w:tc>
          <w:tcPr>
            <w:tcW w:w="1701" w:type="dxa"/>
          </w:tcPr>
          <w:p w14:paraId="2A6AF25F" w14:textId="4DB216F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6167CAA" w14:textId="77777777" w:rsidTr="00BE2954">
        <w:trPr>
          <w:trHeight w:val="229"/>
        </w:trPr>
        <w:tc>
          <w:tcPr>
            <w:tcW w:w="647" w:type="dxa"/>
          </w:tcPr>
          <w:p w14:paraId="4927F64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1D1F0A36" w14:textId="123B1CC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AD770FD" w14:textId="44276FF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DFF2B5C" w14:textId="77777777" w:rsidTr="00BE2954">
        <w:trPr>
          <w:trHeight w:val="230"/>
        </w:trPr>
        <w:tc>
          <w:tcPr>
            <w:tcW w:w="647" w:type="dxa"/>
          </w:tcPr>
          <w:p w14:paraId="67B96F0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4FE5679D" w14:textId="68C77A3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C4C67B" w14:textId="37FF7B6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C2621E" w14:textId="77777777" w:rsidTr="00BE2954">
        <w:trPr>
          <w:trHeight w:val="229"/>
        </w:trPr>
        <w:tc>
          <w:tcPr>
            <w:tcW w:w="647" w:type="dxa"/>
          </w:tcPr>
          <w:p w14:paraId="512F379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1B75A861" w14:textId="18F9560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BC94E02" w14:textId="5F2EC18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2115ED2" w14:textId="77777777" w:rsidTr="00BE2954">
        <w:trPr>
          <w:trHeight w:val="229"/>
        </w:trPr>
        <w:tc>
          <w:tcPr>
            <w:tcW w:w="647" w:type="dxa"/>
          </w:tcPr>
          <w:p w14:paraId="703AE5F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1E966452" w14:textId="32F864A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A935ADC" w14:textId="1FC2B24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C59510" w14:textId="77777777" w:rsidTr="00BE2954">
        <w:trPr>
          <w:trHeight w:val="229"/>
        </w:trPr>
        <w:tc>
          <w:tcPr>
            <w:tcW w:w="647" w:type="dxa"/>
          </w:tcPr>
          <w:p w14:paraId="7F6F814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73BF0BE1" w14:textId="6EC6CB2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37B273" w14:textId="0B3E390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67925A" w14:textId="77777777" w:rsidTr="00BE2954">
        <w:trPr>
          <w:trHeight w:val="229"/>
        </w:trPr>
        <w:tc>
          <w:tcPr>
            <w:tcW w:w="647" w:type="dxa"/>
          </w:tcPr>
          <w:p w14:paraId="58F42B8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2A36CB07" w14:textId="27A283C9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31792CE" w14:textId="6D1E258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F3F37F0" w14:textId="77777777" w:rsidTr="00BE2954">
        <w:trPr>
          <w:trHeight w:val="149"/>
        </w:trPr>
        <w:tc>
          <w:tcPr>
            <w:tcW w:w="647" w:type="dxa"/>
          </w:tcPr>
          <w:p w14:paraId="42662BE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64B0543A" w14:textId="2049986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9C1E31" w14:textId="38923BB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A42FA0" w14:textId="77777777" w:rsidTr="00BE2954">
        <w:trPr>
          <w:trHeight w:val="147"/>
        </w:trPr>
        <w:tc>
          <w:tcPr>
            <w:tcW w:w="647" w:type="dxa"/>
          </w:tcPr>
          <w:p w14:paraId="0751A88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62BA7783" w14:textId="3E9DA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87D933" w14:textId="5D0940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915E56E" w14:textId="77777777" w:rsidTr="00BE2954">
        <w:trPr>
          <w:trHeight w:val="149"/>
        </w:trPr>
        <w:tc>
          <w:tcPr>
            <w:tcW w:w="647" w:type="dxa"/>
          </w:tcPr>
          <w:p w14:paraId="69C3EC8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1C5519D6" w14:textId="25D6F05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7CCDBB8" w14:textId="470AE56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85054FA" w14:textId="77777777" w:rsidTr="00BE2954">
        <w:trPr>
          <w:trHeight w:val="229"/>
        </w:trPr>
        <w:tc>
          <w:tcPr>
            <w:tcW w:w="647" w:type="dxa"/>
          </w:tcPr>
          <w:p w14:paraId="380F80A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45C782C0" w14:textId="67B7A27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EFD1CD" w14:textId="0810AA2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E4A1B86" w14:textId="77777777" w:rsidTr="00BE2954">
        <w:trPr>
          <w:trHeight w:val="147"/>
        </w:trPr>
        <w:tc>
          <w:tcPr>
            <w:tcW w:w="647" w:type="dxa"/>
          </w:tcPr>
          <w:p w14:paraId="7CD8DAC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264EDE77" w14:textId="066E5E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B9359A" w14:textId="025CFB1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02593DA" w14:textId="77777777" w:rsidTr="00BE2954">
        <w:trPr>
          <w:trHeight w:val="147"/>
        </w:trPr>
        <w:tc>
          <w:tcPr>
            <w:tcW w:w="647" w:type="dxa"/>
          </w:tcPr>
          <w:p w14:paraId="2C0EE7E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52E45FDD" w14:textId="2CF9FD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3E894A" w14:textId="4419F93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2DED6F3" w14:textId="77777777" w:rsidTr="00BE2954">
        <w:trPr>
          <w:trHeight w:val="147"/>
        </w:trPr>
        <w:tc>
          <w:tcPr>
            <w:tcW w:w="647" w:type="dxa"/>
          </w:tcPr>
          <w:p w14:paraId="1CA6065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284DD98D" w14:textId="766CE95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9FB490" w14:textId="337AE5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AD3E173" w14:textId="77777777" w:rsidTr="00BE2954">
        <w:trPr>
          <w:trHeight w:val="229"/>
        </w:trPr>
        <w:tc>
          <w:tcPr>
            <w:tcW w:w="647" w:type="dxa"/>
          </w:tcPr>
          <w:p w14:paraId="39E8EB90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37A1D180" w14:textId="536DE8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EEF257" w14:textId="0CBC043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FE8865D" w14:textId="77777777" w:rsidTr="00BE2954">
        <w:trPr>
          <w:trHeight w:val="229"/>
        </w:trPr>
        <w:tc>
          <w:tcPr>
            <w:tcW w:w="647" w:type="dxa"/>
          </w:tcPr>
          <w:p w14:paraId="3D7CDD8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7A4C762F" w14:textId="0EE903B4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</w:p>
        </w:tc>
        <w:tc>
          <w:tcPr>
            <w:tcW w:w="1701" w:type="dxa"/>
          </w:tcPr>
          <w:p w14:paraId="625EF4F7" w14:textId="23FB20E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4A8071" w14:textId="77777777" w:rsidTr="00BE2954">
        <w:trPr>
          <w:trHeight w:val="149"/>
        </w:trPr>
        <w:tc>
          <w:tcPr>
            <w:tcW w:w="647" w:type="dxa"/>
          </w:tcPr>
          <w:p w14:paraId="4677876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72938BA8" w14:textId="6D43171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61A02C" w14:textId="742B079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100F339" w14:textId="77777777" w:rsidTr="00BE2954">
        <w:trPr>
          <w:trHeight w:val="229"/>
        </w:trPr>
        <w:tc>
          <w:tcPr>
            <w:tcW w:w="647" w:type="dxa"/>
          </w:tcPr>
          <w:p w14:paraId="7A2E3B5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5AA6DBE8" w14:textId="4F88B19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4F3DC1" w14:textId="31CF81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48B83EF" w14:textId="77777777" w:rsidTr="00BE2954">
        <w:trPr>
          <w:trHeight w:val="149"/>
        </w:trPr>
        <w:tc>
          <w:tcPr>
            <w:tcW w:w="647" w:type="dxa"/>
          </w:tcPr>
          <w:p w14:paraId="2C7FB0F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39B3E238" w14:textId="0C1E9E2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FA61EC" w14:textId="009B7A4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4C2165B" w14:textId="77777777" w:rsidTr="00BE2954">
        <w:trPr>
          <w:trHeight w:val="147"/>
        </w:trPr>
        <w:tc>
          <w:tcPr>
            <w:tcW w:w="647" w:type="dxa"/>
          </w:tcPr>
          <w:p w14:paraId="0751429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537366E0" w14:textId="5696DC15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3E940B" w14:textId="67AEFB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A9A216F" w14:textId="77777777" w:rsidTr="00BE2954">
        <w:trPr>
          <w:trHeight w:val="149"/>
        </w:trPr>
        <w:tc>
          <w:tcPr>
            <w:tcW w:w="647" w:type="dxa"/>
          </w:tcPr>
          <w:p w14:paraId="14E068EB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0025BA45" w14:textId="4A6F938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6793B3" w14:textId="3EEC202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D145A9" w14:textId="77777777" w:rsidTr="00BE2954">
        <w:trPr>
          <w:trHeight w:val="147"/>
        </w:trPr>
        <w:tc>
          <w:tcPr>
            <w:tcW w:w="647" w:type="dxa"/>
          </w:tcPr>
          <w:p w14:paraId="260154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1C0BD18F" w14:textId="529C268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732EA6" w14:textId="03995EC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952BDAF" w14:textId="77777777" w:rsidTr="00BE2954">
        <w:trPr>
          <w:trHeight w:val="147"/>
        </w:trPr>
        <w:tc>
          <w:tcPr>
            <w:tcW w:w="647" w:type="dxa"/>
          </w:tcPr>
          <w:p w14:paraId="2C6A367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01B762EC" w14:textId="3AF3BCD0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5AB15A" w14:textId="2DD64C3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9975489" w14:textId="77777777" w:rsidTr="00BE2954">
        <w:trPr>
          <w:trHeight w:val="147"/>
        </w:trPr>
        <w:tc>
          <w:tcPr>
            <w:tcW w:w="647" w:type="dxa"/>
          </w:tcPr>
          <w:p w14:paraId="7643DA6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241DCC87" w14:textId="58D0315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3C1250" w14:textId="1135C15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F9C8C68" w14:textId="77777777" w:rsidTr="00BE2954">
        <w:trPr>
          <w:trHeight w:val="147"/>
        </w:trPr>
        <w:tc>
          <w:tcPr>
            <w:tcW w:w="647" w:type="dxa"/>
          </w:tcPr>
          <w:p w14:paraId="6D9304E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3C30ED49" w14:textId="0D629A7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C0BE6A8" w14:textId="5647737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5708110" w14:textId="77777777" w:rsidTr="00BE2954">
        <w:trPr>
          <w:trHeight w:val="60"/>
        </w:trPr>
        <w:tc>
          <w:tcPr>
            <w:tcW w:w="647" w:type="dxa"/>
          </w:tcPr>
          <w:p w14:paraId="23C32F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11FA5552" w14:textId="5AC18C2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A7F50B" w14:textId="0E25409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EA61D83" w14:textId="77777777" w:rsidTr="00BE2954">
        <w:trPr>
          <w:trHeight w:val="60"/>
        </w:trPr>
        <w:tc>
          <w:tcPr>
            <w:tcW w:w="647" w:type="dxa"/>
          </w:tcPr>
          <w:p w14:paraId="4814030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42C4F092" w14:textId="7E95749D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84DE064" w14:textId="462AFE8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243764C" w14:textId="77777777" w:rsidTr="00BE2954">
        <w:trPr>
          <w:trHeight w:val="60"/>
        </w:trPr>
        <w:tc>
          <w:tcPr>
            <w:tcW w:w="647" w:type="dxa"/>
          </w:tcPr>
          <w:p w14:paraId="45C72BD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04E9BDB0" w14:textId="3CFF7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1EAF9A" w14:textId="7A74351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7EB8A24" w14:textId="77777777" w:rsidTr="00BE2954">
        <w:trPr>
          <w:trHeight w:val="60"/>
        </w:trPr>
        <w:tc>
          <w:tcPr>
            <w:tcW w:w="647" w:type="dxa"/>
          </w:tcPr>
          <w:p w14:paraId="611E02C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575E26FF" w14:textId="2E3F7F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20AEB23" w14:textId="5724E9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93E8F02" w14:textId="77777777" w:rsidTr="00BE2954">
        <w:trPr>
          <w:trHeight w:val="60"/>
        </w:trPr>
        <w:tc>
          <w:tcPr>
            <w:tcW w:w="647" w:type="dxa"/>
          </w:tcPr>
          <w:p w14:paraId="721F342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3221D640" w14:textId="15D163C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2533BC" w14:textId="3E12441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AC3B35C" w14:textId="77777777" w:rsidTr="00BE2954">
        <w:trPr>
          <w:trHeight w:val="242"/>
        </w:trPr>
        <w:tc>
          <w:tcPr>
            <w:tcW w:w="647" w:type="dxa"/>
          </w:tcPr>
          <w:p w14:paraId="0001262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47218B9F" w14:textId="4E9BED7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F62A5A" w14:textId="5DCAA036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423C7F5A" w14:textId="77777777" w:rsidTr="00BE2954">
        <w:trPr>
          <w:trHeight w:val="60"/>
        </w:trPr>
        <w:tc>
          <w:tcPr>
            <w:tcW w:w="647" w:type="dxa"/>
          </w:tcPr>
          <w:p w14:paraId="00C4A33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12B66A2C" w14:textId="3067284B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B13D0C1" w14:textId="41711581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22729E60" w14:textId="77777777" w:rsidTr="00BE2954">
        <w:trPr>
          <w:trHeight w:val="60"/>
        </w:trPr>
        <w:tc>
          <w:tcPr>
            <w:tcW w:w="647" w:type="dxa"/>
          </w:tcPr>
          <w:p w14:paraId="25EE6BE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46AE25FB" w14:textId="29E6B8F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F3D657" w14:textId="2A52C032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65C7CA3" w14:textId="77777777" w:rsidTr="00BE2954">
        <w:trPr>
          <w:trHeight w:val="60"/>
        </w:trPr>
        <w:tc>
          <w:tcPr>
            <w:tcW w:w="647" w:type="dxa"/>
          </w:tcPr>
          <w:p w14:paraId="2232896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07CD83DE" w14:textId="3121A6D7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2489A83" w14:textId="43A3F8D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5EB44FD0" w14:textId="77777777" w:rsidTr="00BE2954">
        <w:trPr>
          <w:trHeight w:val="60"/>
        </w:trPr>
        <w:tc>
          <w:tcPr>
            <w:tcW w:w="647" w:type="dxa"/>
          </w:tcPr>
          <w:p w14:paraId="05266C8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2E1E65CA" w14:textId="6BC1EDF1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33BBB1" w14:textId="048DE5D7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0F87F97D" w14:textId="77777777" w:rsidTr="00BE2954">
        <w:trPr>
          <w:trHeight w:val="60"/>
        </w:trPr>
        <w:tc>
          <w:tcPr>
            <w:tcW w:w="647" w:type="dxa"/>
          </w:tcPr>
          <w:p w14:paraId="4666C89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7029FD27" w14:textId="2C068D4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1B922" w14:textId="52B71024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1A2B58F" w14:textId="77777777" w:rsidTr="00BE2954">
        <w:trPr>
          <w:trHeight w:val="60"/>
        </w:trPr>
        <w:tc>
          <w:tcPr>
            <w:tcW w:w="647" w:type="dxa"/>
          </w:tcPr>
          <w:p w14:paraId="6E7AE3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7B712E0A" w14:textId="3E2640F6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002BF2" w14:textId="53F3274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4714BD7" w14:textId="77777777" w:rsidTr="00BE2954">
        <w:trPr>
          <w:trHeight w:val="60"/>
        </w:trPr>
        <w:tc>
          <w:tcPr>
            <w:tcW w:w="647" w:type="dxa"/>
          </w:tcPr>
          <w:p w14:paraId="3A1C163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628C87E7" w14:textId="0F5D9C1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469FE7" w14:textId="3236550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FE92535" w14:textId="77777777" w:rsidTr="00BE2954">
        <w:trPr>
          <w:trHeight w:val="60"/>
        </w:trPr>
        <w:tc>
          <w:tcPr>
            <w:tcW w:w="647" w:type="dxa"/>
          </w:tcPr>
          <w:p w14:paraId="697758A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22913844" w14:textId="6267131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32934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</w:tcPr>
          <w:p w14:paraId="38285F9F" w14:textId="696830D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D8FE61F" w14:textId="77777777" w:rsidTr="00BE2954">
        <w:trPr>
          <w:trHeight w:val="60"/>
        </w:trPr>
        <w:tc>
          <w:tcPr>
            <w:tcW w:w="647" w:type="dxa"/>
          </w:tcPr>
          <w:p w14:paraId="2E45694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37E4888F" w14:textId="74F4C4A0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32935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579F87" w14:textId="5D26F01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B3F5451" w14:textId="77777777" w:rsidTr="00BE2954">
        <w:trPr>
          <w:trHeight w:val="60"/>
        </w:trPr>
        <w:tc>
          <w:tcPr>
            <w:tcW w:w="647" w:type="dxa"/>
          </w:tcPr>
          <w:p w14:paraId="347BF23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12077E8C" w14:textId="675DC2CF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32936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8E898A" w14:textId="39D574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0AB20518" w14:textId="77777777" w:rsidR="00376ADD" w:rsidRDefault="00376ADD" w:rsidP="00CB619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5C354426" w14:textId="1C3FB8C8" w:rsidR="00C131F7" w:rsidRPr="0018779F" w:rsidRDefault="00C131F7" w:rsidP="0018779F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8779F">
        <w:rPr>
          <w:rFonts w:ascii="Verdana" w:hAnsi="Verdana"/>
          <w:sz w:val="20"/>
          <w:szCs w:val="20"/>
        </w:rPr>
        <w:t xml:space="preserve">.1.1. </w:t>
      </w:r>
      <w:r w:rsidR="00F32535">
        <w:rPr>
          <w:rFonts w:ascii="Verdana" w:hAnsi="Verdana" w:cs="Arial"/>
          <w:sz w:val="20"/>
          <w:szCs w:val="20"/>
        </w:rPr>
        <w:t>И</w:t>
      </w:r>
      <w:r w:rsidRPr="0018779F">
        <w:rPr>
          <w:rFonts w:ascii="Verdana" w:hAnsi="Verdana" w:cs="Arial"/>
          <w:sz w:val="20"/>
          <w:szCs w:val="20"/>
        </w:rPr>
        <w:t>мущество приобретается Покупателем за счет:</w:t>
      </w:r>
    </w:p>
    <w:p w14:paraId="4C0B5AC0" w14:textId="25775320" w:rsidR="00A24FDA" w:rsidRPr="0018779F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18779F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18779F">
        <w:rPr>
          <w:rFonts w:ascii="Verdana" w:hAnsi="Verdana" w:cs="Arial"/>
          <w:sz w:val="20"/>
          <w:szCs w:val="20"/>
        </w:rPr>
        <w:t>мме __</w:t>
      </w:r>
      <w:r w:rsidRPr="0018779F">
        <w:rPr>
          <w:rFonts w:ascii="Verdana" w:hAnsi="Verdana" w:cs="Arial"/>
          <w:sz w:val="20"/>
          <w:szCs w:val="20"/>
        </w:rPr>
        <w:t>________________ руб</w:t>
      </w:r>
      <w:r w:rsidR="00CA521C">
        <w:rPr>
          <w:rFonts w:ascii="Verdana" w:hAnsi="Verdana" w:cs="Arial"/>
          <w:sz w:val="20"/>
          <w:szCs w:val="20"/>
        </w:rPr>
        <w:t>лей</w:t>
      </w:r>
      <w:r w:rsidRPr="0018779F">
        <w:rPr>
          <w:rFonts w:ascii="Verdana" w:hAnsi="Verdana" w:cs="Arial"/>
          <w:sz w:val="20"/>
          <w:szCs w:val="20"/>
        </w:rPr>
        <w:t xml:space="preserve"> ________ коп</w:t>
      </w:r>
      <w:r w:rsidR="00CA521C">
        <w:rPr>
          <w:rFonts w:ascii="Verdana" w:hAnsi="Verdana" w:cs="Arial"/>
          <w:sz w:val="20"/>
          <w:szCs w:val="20"/>
        </w:rPr>
        <w:t>еек</w:t>
      </w:r>
      <w:r w:rsidRPr="0018779F">
        <w:rPr>
          <w:rFonts w:ascii="Verdana" w:hAnsi="Verdana" w:cs="Arial"/>
          <w:sz w:val="20"/>
          <w:szCs w:val="20"/>
        </w:rPr>
        <w:t xml:space="preserve"> (</w:t>
      </w:r>
      <w:r w:rsidR="0018779F" w:rsidRPr="0018779F">
        <w:rPr>
          <w:rFonts w:ascii="Verdana" w:hAnsi="Verdana" w:cs="Arial"/>
          <w:sz w:val="20"/>
          <w:szCs w:val="20"/>
        </w:rPr>
        <w:t>в том числе НДС, исчисленный в соответствии с действующим законодательством Российской Федерации</w:t>
      </w:r>
      <w:r w:rsidRPr="0018779F">
        <w:rPr>
          <w:rFonts w:ascii="Verdana" w:hAnsi="Verdana" w:cs="Arial"/>
          <w:sz w:val="20"/>
          <w:szCs w:val="20"/>
        </w:rPr>
        <w:t xml:space="preserve">)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18779F" w14:paraId="55E6206E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16B880C" w14:textId="242BBDA5" w:rsidR="00E90DA2" w:rsidRPr="0018779F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280327FC" w14:textId="77B9852E" w:rsidR="00E9151F" w:rsidRPr="0018779F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>и</w:t>
            </w:r>
            <w:r w:rsidR="00C93629">
              <w:rPr>
                <w:rFonts w:ascii="Verdana" w:hAnsi="Verdana" w:cs="Arial"/>
                <w:sz w:val="20"/>
                <w:szCs w:val="20"/>
              </w:rPr>
              <w:t>/или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C8A940" w14:textId="0526629C" w:rsidR="00E90DA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>
              <w:rPr>
                <w:rFonts w:ascii="Verdana" w:hAnsi="Verdana" w:cs="Arial"/>
                <w:sz w:val="20"/>
                <w:szCs w:val="20"/>
              </w:rPr>
              <w:t>лей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>
              <w:rPr>
                <w:rFonts w:ascii="Verdana" w:hAnsi="Verdana" w:cs="Arial"/>
                <w:sz w:val="20"/>
                <w:szCs w:val="20"/>
              </w:rPr>
              <w:t>еек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 w:cs="Arial"/>
                <w:sz w:val="20"/>
                <w:szCs w:val="20"/>
              </w:rPr>
              <w:t xml:space="preserve"> Российской Федерации</w:t>
            </w:r>
            <w:r w:rsidRPr="0018779F">
              <w:rPr>
                <w:rFonts w:ascii="Verdana" w:hAnsi="Verdana" w:cs="Arial"/>
                <w:sz w:val="20"/>
                <w:szCs w:val="20"/>
              </w:rPr>
              <w:t>)</w:t>
            </w:r>
            <w:r w:rsidRPr="0018779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>
              <w:rPr>
                <w:rFonts w:ascii="Verdana" w:hAnsi="Verdana" w:cs="Arial"/>
                <w:sz w:val="20"/>
                <w:szCs w:val="20"/>
              </w:rPr>
              <w:t>–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9B5635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18779F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18779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9E1E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18779F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>
              <w:rPr>
                <w:rFonts w:ascii="Verdana" w:hAnsi="Verdana" w:cs="Arial"/>
                <w:sz w:val="20"/>
                <w:szCs w:val="20"/>
              </w:rPr>
              <w:t>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>
              <w:rPr>
                <w:rFonts w:ascii="Verdana" w:hAnsi="Verdana" w:cs="Arial"/>
                <w:sz w:val="20"/>
                <w:szCs w:val="20"/>
              </w:rPr>
              <w:t>ода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>
              <w:rPr>
                <w:rFonts w:ascii="Verdana" w:hAnsi="Verdana" w:cs="Arial"/>
                <w:sz w:val="20"/>
                <w:szCs w:val="20"/>
              </w:rPr>
              <w:t>№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54F1504" w14:textId="1B3C139A" w:rsidR="007236E7" w:rsidRPr="0018779F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0E916A1F" w14:textId="77777777" w:rsidR="007236E7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BBA88EB" w14:textId="44E48A10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E2398AE" w14:textId="76BA281D" w:rsidR="00AB5223" w:rsidRPr="008509DF" w:rsidRDefault="00DE0E51" w:rsidP="007236E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CA521C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A521C">
              <w:rPr>
                <w:rFonts w:ascii="Verdana" w:hAnsi="Verdana"/>
                <w:sz w:val="20"/>
                <w:szCs w:val="20"/>
              </w:rPr>
              <w:t>10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A521C">
              <w:rPr>
                <w:rFonts w:ascii="Verdana" w:hAnsi="Verdana"/>
                <w:sz w:val="20"/>
                <w:szCs w:val="20"/>
              </w:rPr>
              <w:t>Десяти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>)</w:t>
            </w:r>
            <w:r w:rsidR="00CA52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A521C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CA521C">
              <w:rPr>
                <w:rFonts w:ascii="Verdana" w:hAnsi="Verdana"/>
                <w:sz w:val="20"/>
                <w:szCs w:val="20"/>
              </w:rPr>
              <w:t>И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CA521C">
              <w:rPr>
                <w:rFonts w:ascii="Verdana" w:hAnsi="Verdana"/>
                <w:sz w:val="20"/>
                <w:szCs w:val="20"/>
              </w:rPr>
              <w:t>__________</w:t>
            </w:r>
            <w:r w:rsidR="00E34201" w:rsidRPr="00CA521C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>)</w:t>
            </w:r>
            <w:r w:rsidR="00BF736E" w:rsidRPr="00CA521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8509DF" w14:paraId="7EB60818" w14:textId="77777777" w:rsidTr="00921B0E">
        <w:tc>
          <w:tcPr>
            <w:tcW w:w="2268" w:type="dxa"/>
            <w:shd w:val="clear" w:color="auto" w:fill="auto"/>
          </w:tcPr>
          <w:p w14:paraId="7FD0AC70" w14:textId="7A0D110B"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83C10B9" w14:textId="259036FF"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39DBB6B" w14:textId="5964C08E" w:rsidR="00B71921" w:rsidRPr="008076AD" w:rsidRDefault="00B71921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F601A"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10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236E7">
              <w:rPr>
                <w:rFonts w:ascii="Verdana" w:hAnsi="Verdana"/>
                <w:sz w:val="20"/>
                <w:szCs w:val="20"/>
              </w:rPr>
              <w:t>Десяти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мущества в размере </w:t>
            </w:r>
            <w:r w:rsidRPr="007236E7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7236E7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7236E7">
              <w:rPr>
                <w:rFonts w:ascii="Verdana" w:hAnsi="Verdana"/>
                <w:sz w:val="20"/>
                <w:szCs w:val="20"/>
              </w:rPr>
              <w:t>.</w:t>
            </w:r>
          </w:p>
          <w:p w14:paraId="435A6A8A" w14:textId="44A9EA96" w:rsidR="001E2875" w:rsidRPr="008509DF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в размере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7497FE0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1F95CF79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74B80BD9" w14:textId="57D06283" w:rsidR="001E5436" w:rsidRPr="008076AD" w:rsidRDefault="00B71921" w:rsidP="007236E7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>3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="007236E7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34994BBB" w:rsidR="003D002A" w:rsidRPr="003107B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3EC37FFF" w:rsidR="003D002A" w:rsidRPr="0002347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5D6A8B89" w14:textId="106AF414" w:rsidR="004409BC" w:rsidRPr="008509DF" w:rsidRDefault="00E44495" w:rsidP="003107BF">
            <w:pPr>
              <w:pStyle w:val="a5"/>
              <w:numPr>
                <w:ilvl w:val="2"/>
                <w:numId w:val="22"/>
              </w:numPr>
              <w:tabs>
                <w:tab w:val="left" w:pos="892"/>
              </w:tabs>
              <w:ind w:left="31" w:firstLine="83"/>
              <w:jc w:val="both"/>
              <w:rPr>
                <w:rFonts w:ascii="Verdana" w:hAnsi="Verdana"/>
                <w:color w:val="000000" w:themeColor="text1"/>
              </w:rPr>
            </w:pPr>
            <w:r w:rsidRPr="003107BF">
              <w:rPr>
                <w:rFonts w:ascii="Verdana" w:hAnsi="Verdana"/>
              </w:rPr>
              <w:t>Задаток, внесенный П</w:t>
            </w:r>
            <w:r w:rsidR="003D002A" w:rsidRPr="003107BF">
              <w:rPr>
                <w:rFonts w:ascii="Verdana" w:hAnsi="Verdana"/>
              </w:rPr>
              <w:t xml:space="preserve">окупателем для участия в </w:t>
            </w:r>
            <w:r w:rsidR="00732D58" w:rsidRPr="003107BF">
              <w:rPr>
                <w:rFonts w:ascii="Verdana" w:hAnsi="Verdana"/>
              </w:rPr>
              <w:t>а</w:t>
            </w:r>
            <w:r w:rsidR="003D002A" w:rsidRPr="003107BF">
              <w:rPr>
                <w:rFonts w:ascii="Verdana" w:hAnsi="Verdana"/>
              </w:rPr>
              <w:t xml:space="preserve">укционе в размере </w:t>
            </w:r>
            <w:r w:rsidR="009B2148" w:rsidRPr="003107BF">
              <w:rPr>
                <w:rFonts w:ascii="Verdana" w:hAnsi="Verdana"/>
              </w:rPr>
              <w:t>155 018 200</w:t>
            </w:r>
            <w:r w:rsidR="003D002A" w:rsidRPr="003107BF">
              <w:rPr>
                <w:rFonts w:ascii="Verdana" w:hAnsi="Verdana"/>
              </w:rPr>
              <w:t xml:space="preserve"> (</w:t>
            </w:r>
            <w:r w:rsidR="009B2148" w:rsidRPr="003107BF">
              <w:rPr>
                <w:rFonts w:ascii="Verdana" w:hAnsi="Verdana"/>
              </w:rPr>
              <w:t>Сто пятьдесят пять миллионов восемнадцать тысяч двести</w:t>
            </w:r>
            <w:r w:rsidR="003D002A" w:rsidRPr="003107BF">
              <w:rPr>
                <w:rFonts w:ascii="Verdana" w:hAnsi="Verdana"/>
              </w:rPr>
              <w:t xml:space="preserve">) рублей </w:t>
            </w:r>
            <w:r w:rsidR="009B2148" w:rsidRPr="003107BF">
              <w:rPr>
                <w:rFonts w:ascii="Verdana" w:hAnsi="Verdana"/>
              </w:rPr>
              <w:t>00</w:t>
            </w:r>
            <w:r w:rsidR="003D002A" w:rsidRPr="003107BF">
              <w:rPr>
                <w:rFonts w:ascii="Verdana" w:hAnsi="Verdana"/>
              </w:rPr>
              <w:t xml:space="preserve">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</w:rPr>
              <w:t xml:space="preserve"> Российской Федерации</w:t>
            </w:r>
            <w:r w:rsidR="003D002A" w:rsidRPr="003107BF">
              <w:rPr>
                <w:rFonts w:ascii="Verdana" w:hAnsi="Verdana"/>
              </w:rPr>
              <w:t xml:space="preserve">), </w:t>
            </w:r>
            <w:r w:rsidR="00F8488D" w:rsidRPr="003107BF">
              <w:rPr>
                <w:rFonts w:ascii="Verdana" w:hAnsi="Verdana"/>
              </w:rPr>
              <w:t>засчитывается</w:t>
            </w:r>
            <w:r w:rsidR="003107BF">
              <w:rPr>
                <w:rFonts w:ascii="Verdana" w:hAnsi="Verdana"/>
              </w:rPr>
              <w:t xml:space="preserve"> </w:t>
            </w:r>
            <w:r w:rsidR="004409BC" w:rsidRPr="004409BC">
              <w:rPr>
                <w:rFonts w:ascii="Verdana" w:hAnsi="Verdana"/>
                <w:color w:val="000000" w:themeColor="text1"/>
              </w:rPr>
              <w:t xml:space="preserve">в счет оплаты цены </w:t>
            </w:r>
            <w:r w:rsidR="003107BF">
              <w:rPr>
                <w:rFonts w:ascii="Verdana" w:hAnsi="Verdana"/>
                <w:color w:val="000000" w:themeColor="text1"/>
              </w:rPr>
              <w:t>И</w:t>
            </w:r>
            <w:r w:rsidR="004409BC" w:rsidRPr="004409BC">
              <w:rPr>
                <w:rFonts w:ascii="Verdana" w:hAnsi="Verdana"/>
                <w:color w:val="000000" w:themeColor="text1"/>
              </w:rPr>
              <w:t>мущества</w:t>
            </w:r>
            <w:r w:rsidR="003107BF">
              <w:rPr>
                <w:rFonts w:ascii="Verdana" w:hAnsi="Verdana"/>
                <w:color w:val="000000" w:themeColor="text1"/>
              </w:rPr>
              <w:t>.</w:t>
            </w:r>
          </w:p>
        </w:tc>
      </w:tr>
    </w:tbl>
    <w:p w14:paraId="417BF1C0" w14:textId="695AEC30" w:rsidR="008E0E6F" w:rsidRDefault="008E0E6F" w:rsidP="00E2412A">
      <w:pPr>
        <w:pStyle w:val="a5"/>
        <w:ind w:left="695"/>
        <w:jc w:val="both"/>
        <w:rPr>
          <w:rFonts w:ascii="Verdana" w:hAnsi="Verdana" w:cs="Arial"/>
          <w:highlight w:val="yellow"/>
        </w:rPr>
      </w:pPr>
    </w:p>
    <w:p w14:paraId="40F51F10" w14:textId="77777777" w:rsidR="008E0E6F" w:rsidRPr="008509DF" w:rsidRDefault="008E0E6F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51FA422F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3107B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08E3BFE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>
        <w:rPr>
          <w:rFonts w:ascii="Verdana" w:hAnsi="Verdana"/>
          <w:sz w:val="20"/>
          <w:szCs w:val="20"/>
        </w:rPr>
        <w:t>оссийской федерации</w:t>
      </w:r>
      <w:r w:rsidR="008E7F17" w:rsidRPr="008509DF">
        <w:rPr>
          <w:rFonts w:ascii="Verdana" w:hAnsi="Verdana"/>
          <w:sz w:val="20"/>
          <w:szCs w:val="20"/>
        </w:rPr>
        <w:t>.</w:t>
      </w:r>
    </w:p>
    <w:p w14:paraId="235D1335" w14:textId="07C73801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>
        <w:rPr>
          <w:rFonts w:ascii="Verdana" w:hAnsi="Verdana"/>
          <w:sz w:val="20"/>
          <w:szCs w:val="20"/>
        </w:rPr>
        <w:t>ражданского кодекса</w:t>
      </w:r>
      <w:r w:rsidR="001C7960" w:rsidRPr="008509DF">
        <w:rPr>
          <w:rFonts w:ascii="Verdana" w:hAnsi="Verdana"/>
          <w:sz w:val="20"/>
          <w:szCs w:val="20"/>
        </w:rPr>
        <w:t xml:space="preserve"> Р</w:t>
      </w:r>
      <w:r w:rsidR="003107BF">
        <w:rPr>
          <w:rFonts w:ascii="Verdana" w:hAnsi="Verdana"/>
          <w:sz w:val="20"/>
          <w:szCs w:val="20"/>
        </w:rPr>
        <w:t xml:space="preserve">оссийской </w:t>
      </w:r>
      <w:r w:rsidR="001C7960" w:rsidRPr="008509DF">
        <w:rPr>
          <w:rFonts w:ascii="Verdana" w:hAnsi="Verdana"/>
          <w:sz w:val="20"/>
          <w:szCs w:val="20"/>
        </w:rPr>
        <w:t>Ф</w:t>
      </w:r>
      <w:r w:rsidR="003107BF">
        <w:rPr>
          <w:rFonts w:ascii="Verdana" w:hAnsi="Verdana"/>
          <w:sz w:val="20"/>
          <w:szCs w:val="20"/>
        </w:rPr>
        <w:t>едерации</w:t>
      </w:r>
      <w:r w:rsidR="001C7960" w:rsidRPr="008509DF">
        <w:rPr>
          <w:rFonts w:ascii="Verdana" w:hAnsi="Verdana"/>
          <w:sz w:val="20"/>
          <w:szCs w:val="20"/>
        </w:rPr>
        <w:t>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CAAB91F" w14:textId="1AF92E31" w:rsidR="000A1317" w:rsidRPr="008509DF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оплаты с аккредитивом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полной пост оплаты с аккредитивом, в том числе с использованием кредитных средств)  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53A0807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9B56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Имущество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B5635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E1E91">
              <w:rPr>
                <w:rFonts w:ascii="Verdana" w:hAnsi="Verdana"/>
                <w:sz w:val="20"/>
                <w:szCs w:val="20"/>
              </w:rPr>
              <w:t>И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мущества после удовлетворения требований Продавца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14182495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</w:t>
            </w:r>
            <w:r w:rsidR="009B5635">
              <w:rPr>
                <w:rFonts w:ascii="Verdana" w:hAnsi="Verdana"/>
              </w:rPr>
              <w:t>Нежилого здания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B5635">
              <w:rPr>
                <w:rFonts w:ascii="Verdana" w:hAnsi="Verdana"/>
              </w:rPr>
              <w:t>10 (Д</w:t>
            </w:r>
            <w:r w:rsidR="000A1317" w:rsidRPr="009B5635">
              <w:rPr>
                <w:rFonts w:ascii="Verdana" w:hAnsi="Verdana"/>
              </w:rPr>
              <w:t xml:space="preserve">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 xml:space="preserve">ены </w:t>
            </w:r>
            <w:r w:rsidR="009B5635">
              <w:rPr>
                <w:rFonts w:ascii="Verdana" w:hAnsi="Verdana"/>
              </w:rPr>
              <w:t>И</w:t>
            </w:r>
            <w:r w:rsidR="00CD0BC6" w:rsidRPr="008076AD">
              <w:rPr>
                <w:rFonts w:ascii="Verdana" w:hAnsi="Verdana"/>
              </w:rPr>
              <w:t>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4BB80EA6" w14:textId="5ED5EF84" w:rsidR="009E1E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78263BCB" w14:textId="56394E5B" w:rsidR="000A1317" w:rsidRPr="008509DF" w:rsidRDefault="009E1E91" w:rsidP="009B563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>
              <w:rPr>
                <w:rFonts w:ascii="Verdana" w:hAnsi="Verdana"/>
              </w:rPr>
              <w:t xml:space="preserve">2.8. Залог (ипотека) в пользу </w:t>
            </w:r>
            <w:r w:rsidR="009F6DC8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 xml:space="preserve">редитующего </w:t>
            </w:r>
            <w:r w:rsidR="009F6DC8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9B5635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Нежилое здание.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Имущества в полном объеме (п.5 ст.488 ГК РФ)</w:t>
            </w:r>
            <w:r w:rsidR="009B5635">
              <w:rPr>
                <w:rFonts w:ascii="Verdana" w:hAnsi="Verdana"/>
              </w:rPr>
              <w:t xml:space="preserve"> </w:t>
            </w:r>
            <w:r w:rsidR="009B5635" w:rsidRPr="009B5635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Имущества с использованием кредитных средств). </w:t>
            </w: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A36E29C" w14:textId="6568F1F4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74A86B4F" w:rsidR="000A1317" w:rsidRPr="00672CCD" w:rsidRDefault="008F55DE" w:rsidP="003107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</w:t>
            </w:r>
          </w:p>
        </w:tc>
      </w:tr>
    </w:tbl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76F0D18A" w:rsidR="00C8616B" w:rsidRPr="008076AD" w:rsidRDefault="00B14899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A24C91" w:rsidRPr="008076AD">
        <w:rPr>
          <w:rFonts w:ascii="Verdana" w:hAnsi="Verdana"/>
        </w:rPr>
        <w:t>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</w:t>
      </w:r>
      <w:r>
        <w:rPr>
          <w:rFonts w:ascii="Verdana" w:hAnsi="Verdana"/>
        </w:rPr>
        <w:t>«</w:t>
      </w:r>
      <w:r w:rsidR="000F3D1D" w:rsidRPr="00B14899">
        <w:rPr>
          <w:rFonts w:ascii="Verdana" w:hAnsi="Verdana"/>
          <w:b/>
        </w:rPr>
        <w:t>Акт приема-передачи</w:t>
      </w:r>
      <w:r>
        <w:rPr>
          <w:rFonts w:ascii="Verdana" w:hAnsi="Verdana"/>
        </w:rPr>
        <w:t>»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B14899">
        <w:rPr>
          <w:rFonts w:ascii="Verdana" w:hAnsi="Verdana"/>
        </w:rPr>
        <w:t>в течение</w:t>
      </w:r>
      <w:r>
        <w:rPr>
          <w:rFonts w:ascii="Verdana" w:hAnsi="Verdana"/>
        </w:rPr>
        <w:t xml:space="preserve"> 5</w:t>
      </w:r>
      <w:r w:rsidR="002C1077" w:rsidRPr="00B14899">
        <w:rPr>
          <w:rFonts w:ascii="Verdana" w:hAnsi="Verdana"/>
        </w:rPr>
        <w:t xml:space="preserve"> (</w:t>
      </w:r>
      <w:r>
        <w:rPr>
          <w:rFonts w:ascii="Verdana" w:hAnsi="Verdana"/>
        </w:rPr>
        <w:t>Пяти</w:t>
      </w:r>
      <w:r w:rsidR="002C1077" w:rsidRPr="00B14899">
        <w:rPr>
          <w:rFonts w:ascii="Verdana" w:hAnsi="Verdana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>рабочих дней</w:t>
      </w:r>
      <w:r>
        <w:rPr>
          <w:rFonts w:ascii="Verdana" w:hAnsi="Verdana"/>
        </w:rPr>
        <w:t xml:space="preserve"> с даты </w:t>
      </w:r>
      <w:r w:rsidR="007376A9">
        <w:rPr>
          <w:rFonts w:ascii="Verdana" w:hAnsi="Verdana"/>
        </w:rPr>
        <w:t xml:space="preserve">государственной </w:t>
      </w:r>
      <w:r>
        <w:rPr>
          <w:rFonts w:ascii="Verdana" w:hAnsi="Verdana"/>
        </w:rPr>
        <w:t xml:space="preserve">регистрации перехода права собственности на </w:t>
      </w:r>
      <w:r w:rsidR="007376A9">
        <w:rPr>
          <w:rFonts w:ascii="Verdana" w:hAnsi="Verdana"/>
        </w:rPr>
        <w:t>Н</w:t>
      </w:r>
      <w:r>
        <w:rPr>
          <w:rFonts w:ascii="Verdana" w:hAnsi="Verdana"/>
        </w:rPr>
        <w:t>ежилое здание от Продавца к Покупателю.</w:t>
      </w:r>
      <w:r w:rsidR="002C1077" w:rsidRPr="008076AD">
        <w:rPr>
          <w:rFonts w:ascii="Verdana" w:hAnsi="Verdana"/>
        </w:rPr>
        <w:t xml:space="preserve"> </w:t>
      </w:r>
    </w:p>
    <w:p w14:paraId="5D1E3E5C" w14:textId="0791192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1680390D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5451EF8A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мущество, указанное в п. 1.1 Договора.</w:t>
      </w:r>
    </w:p>
    <w:p w14:paraId="2EE168A7" w14:textId="67BF8100"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7EA3D4BF" w:rsidR="00211F7A" w:rsidRPr="008509DF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15598E5" w14:textId="4F6D045C" w:rsidR="0055484B" w:rsidRPr="00B63889" w:rsidRDefault="0055484B" w:rsidP="00231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4.1.2. Уведомить арендодателя Земельного участка об отчуждении Нежилого здания в течение 10 (Десяти) календарных дней с даты государственной регистрации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перехода права собственности на Нежилое здание от Продавца к Покупателю и в тот же срок обратиться с заявлением в Департамент </w:t>
      </w:r>
      <w:r w:rsid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государственного имущества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города Москвы об изменении </w:t>
      </w:r>
      <w:r w:rsidR="00231A3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либо прекращении ранее установленного права на Земельный участок.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E23E6" w14:textId="12E048CD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707D0953" w:rsidR="00B17901" w:rsidRPr="008509DF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FE1694" w14:paraId="7518AD4B" w14:textId="77777777" w:rsidTr="00FE1694">
        <w:tc>
          <w:tcPr>
            <w:tcW w:w="2269" w:type="dxa"/>
          </w:tcPr>
          <w:p w14:paraId="3A29176D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10F277B" w14:textId="5EA34F61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7D6A6103" w14:textId="244D20EE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.2.1. Уплатить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Продавцу ц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ену 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4879C6" w14:paraId="259106B8" w14:textId="77777777" w:rsidTr="00FE1694">
        <w:tc>
          <w:tcPr>
            <w:tcW w:w="2269" w:type="dxa"/>
          </w:tcPr>
          <w:p w14:paraId="20FA0DD6" w14:textId="77777777" w:rsidR="00BC3F9A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EBD042A" w14:textId="26A19C68" w:rsidR="00FE1694" w:rsidRPr="00FE169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4455AB14" w14:textId="3DF50654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4879C6" w14:paraId="193943AB" w14:textId="77777777" w:rsidTr="00FE1694">
        <w:tc>
          <w:tcPr>
            <w:tcW w:w="2269" w:type="dxa"/>
          </w:tcPr>
          <w:p w14:paraId="66817E7B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47BB7C43" w14:textId="1FC51348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7E9AF1C0" w14:textId="7C00A35F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Уплатить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FE169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25037D9" w14:textId="77777777" w:rsidR="00FE1694" w:rsidRPr="008076AD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69FD7685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2C3C704F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6B5A454B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к Покупателю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содержания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</w:t>
      </w:r>
      <w:r w:rsidR="00BC3F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оплату аренды Земельного участка,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7514F2B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оплату аренды Земельного участка,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C7929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1F409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244F672D" w14:textId="065BAB58" w:rsidR="001F409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4.2.7. Не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Имущества, в том числе ремонт, перепланировку, реконструкцию, межевание, снос и т.п., до даты получения Продавцом денежных средств по Договору в полном объеме.</w:t>
      </w:r>
    </w:p>
    <w:p w14:paraId="5DA201E1" w14:textId="39304B66" w:rsidR="00642D4E" w:rsidRPr="001F4090" w:rsidRDefault="000D4DD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1F4090" w:rsidRPr="00B63889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642D4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Любая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>адолженност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ь арендаторов перед Продавцом по договорам аренды, указанным в Приложении №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Договору, может быть по усмотрению Продавца автоматически (без заявления Продавца и/или арендатора) зачтена из обеспечительного платежа по договорам аренды в дату, предшествующую</w:t>
      </w:r>
      <w:r w:rsidR="000E1645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дате передачи 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мущества от Продавца Покупателю</w:t>
      </w:r>
      <w:r w:rsidR="00856DE3" w:rsidRPr="001F409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31E4BBAB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1FA5C4E2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580C1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 от Продавца к Покупателю, а также расходы, связанные с изменением либо прекращением ранее установленного права на Земельный участок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286D5022" w:rsidR="00CE777E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A7E9D8" w14:textId="3C29E344" w:rsidR="00580C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80C14" w14:paraId="217686BC" w14:textId="77777777" w:rsidTr="00BD1813">
        <w:tc>
          <w:tcPr>
            <w:tcW w:w="2269" w:type="dxa"/>
          </w:tcPr>
          <w:p w14:paraId="1BAFE8E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2CC47E4" w14:textId="15DEB419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02" w:type="dxa"/>
          </w:tcPr>
          <w:p w14:paraId="61EECE8B" w14:textId="2FBF4DE6" w:rsidR="00580C14" w:rsidRPr="00580C14" w:rsidRDefault="00580C14" w:rsidP="00EC102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194D07C5" w14:textId="77777777" w:rsidTr="00BD1813">
        <w:tc>
          <w:tcPr>
            <w:tcW w:w="2269" w:type="dxa"/>
          </w:tcPr>
          <w:p w14:paraId="173176A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B1BA4C6" w14:textId="46110D21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пост 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оплаты с аккредитивом</w:t>
            </w:r>
          </w:p>
        </w:tc>
        <w:tc>
          <w:tcPr>
            <w:tcW w:w="7502" w:type="dxa"/>
          </w:tcPr>
          <w:p w14:paraId="4E8D2EE6" w14:textId="23A36FCD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6731D996" w14:textId="77777777" w:rsidTr="006D1867">
        <w:trPr>
          <w:trHeight w:val="3907"/>
        </w:trPr>
        <w:tc>
          <w:tcPr>
            <w:tcW w:w="2269" w:type="dxa"/>
          </w:tcPr>
          <w:p w14:paraId="2EC27519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B2FDEB8" w14:textId="20EC92A5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367FFDA1" w14:textId="41138C2B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80C14">
              <w:rPr>
                <w:rFonts w:ascii="Verdana" w:hAnsi="Verdana"/>
                <w:sz w:val="20"/>
                <w:szCs w:val="20"/>
              </w:rPr>
              <w:t>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6D1867"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CA1950A" w14:textId="7FE021B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3CC0AEA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3C9C69C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Имущества (части цены Имущества)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том числе срока открытия аккредитива,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предусмотренных п. 2.2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и компенсации понесенных Продавцом расходов по содержанию Имущества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, в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том числе оплаты аренды Земельного участка, предусмотренных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 4.2.5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E7EB6" w14:textId="50486AE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7B4588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документы, выдаваемые компетентными органами.</w:t>
      </w:r>
    </w:p>
    <w:p w14:paraId="52AF709A" w14:textId="79900C9B" w:rsidR="00617D5E" w:rsidRPr="007B4588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46E560D8" w14:textId="4EE290D9" w:rsidR="007B4588" w:rsidRPr="007B4588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 9.2 Договора основаниям, Покупатель обязуется выплатить Продавцу неустойку в размере 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,98% от цены Имущества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82A9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408EDF" w14:textId="3C8B9C3C" w:rsidR="007B4588" w:rsidRPr="007B4588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82A90">
        <w:rPr>
          <w:rFonts w:ascii="Verdana" w:eastAsia="Times New Roman" w:hAnsi="Verdana" w:cs="Times New Roman"/>
          <w:sz w:val="20"/>
          <w:szCs w:val="20"/>
          <w:lang w:eastAsia="ru-RU"/>
        </w:rPr>
        <w:t>автоматически (без заявления Продавца и/или Покупателя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зачесть указанную в настоящем пункте </w:t>
      </w:r>
      <w:r w:rsidR="00082A90"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>упателю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2.2.2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2B86A61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1021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5C14BB3" w14:textId="64555914" w:rsidR="00E94C0A" w:rsidRPr="00E94C0A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7381EC03" w14:textId="05DF7D04" w:rsidR="00E94C0A" w:rsidRPr="00E94C0A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поступление на счет Продавца оплаты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(части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мущества) в размере и сроки, установленные п.2.2 Договора.</w:t>
      </w:r>
    </w:p>
    <w:p w14:paraId="5A48350F" w14:textId="77777777" w:rsidR="00E94C0A" w:rsidRPr="00E94C0A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94C0A" w14:paraId="758ADF6A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1F2877F6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E8EE757" w14:textId="52B40F30" w:rsidR="00E94C0A" w:rsidRPr="00E94C0A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</w:t>
            </w:r>
            <w:r w:rsidR="003A070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7B4DDFAD" w14:textId="2152B96E" w:rsidR="00E94C0A" w:rsidRPr="00E94C0A" w:rsidRDefault="00E94C0A" w:rsidP="00E94C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94C0A" w14:paraId="3640D0AD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6BA9D12D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94C0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6CCAAC4C" w14:textId="52F58DD3" w:rsidR="00E94C0A" w:rsidRPr="00E94C0A" w:rsidRDefault="00E94C0A" w:rsidP="008B63B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__________ 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2B0341B6" w14:textId="77777777" w:rsidR="00E94C0A" w:rsidRPr="0055668A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5017487F" w:rsidR="007A18E8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056D36" w:rsidRPr="00E94C0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>10 (</w:t>
      </w:r>
      <w:r w:rsidR="00A94D79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2DDC94D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004B9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3 (Трех)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3D7E2734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456ABA0F" w14:textId="6E718C4D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35A1C588" w:rsidR="000B3E5F" w:rsidRPr="0065632D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3F59A834" w14:textId="7939E3FA" w:rsidR="000B3E5F" w:rsidRPr="0065632D" w:rsidRDefault="0099685B" w:rsidP="0065632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 До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говор составлен и подписан в 3 (Трех)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экземплярах, имеющих равную юридическую силу: 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 (О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дин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 для Покупателя, 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(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Два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а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для Продавца.</w:t>
      </w:r>
    </w:p>
    <w:p w14:paraId="6D969A85" w14:textId="77777777" w:rsidR="000D5385" w:rsidRPr="008509DF" w:rsidRDefault="00E30683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7ECC4F02" w14:textId="7DE228BC" w:rsidR="00A30CA0" w:rsidRPr="00C76935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BD650B4" w14:textId="1F6A0CD0" w:rsidR="0065632D" w:rsidRPr="0055668A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>
        <w:rPr>
          <w:rFonts w:ascii="Verdana" w:hAnsi="Verdana"/>
          <w:sz w:val="20"/>
          <w:szCs w:val="20"/>
        </w:rPr>
        <w:t>Перечень движимого имущества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л.</w:t>
      </w:r>
    </w:p>
    <w:p w14:paraId="41BA6A26" w14:textId="4C38B93E" w:rsidR="00A30CA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65632D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имущества от </w:t>
      </w:r>
      <w:r w:rsidR="00083142" w:rsidRPr="0065632D">
        <w:rPr>
          <w:rFonts w:ascii="Verdana" w:hAnsi="Verdana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65632D">
        <w:rPr>
          <w:rFonts w:ascii="Verdana" w:hAnsi="Verdana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37275CA9" w14:textId="1E3568F6" w:rsidR="0065632D" w:rsidRPr="00942378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Условия аккредитива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</w:t>
      </w:r>
      <w:r>
        <w:rPr>
          <w:rFonts w:ascii="Verdana" w:hAnsi="Verdana"/>
          <w:sz w:val="20"/>
          <w:szCs w:val="20"/>
        </w:rPr>
        <w:t xml:space="preserve">. 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5668A" w14:paraId="401D287F" w14:textId="77777777" w:rsidTr="0065632D">
        <w:tc>
          <w:tcPr>
            <w:tcW w:w="7363" w:type="dxa"/>
          </w:tcPr>
          <w:p w14:paraId="6DC1D534" w14:textId="0DD25360" w:rsidR="0065632D" w:rsidRPr="0055668A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  <w:r w:rsidRPr="0055668A">
              <w:rPr>
                <w:rFonts w:ascii="Verdana" w:hAnsi="Verdana"/>
                <w:sz w:val="20"/>
                <w:szCs w:val="20"/>
              </w:rPr>
              <w:t>Приложение №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Перечень договоров аренды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5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sz w:val="20"/>
                <w:szCs w:val="20"/>
              </w:rPr>
              <w:t>л.</w:t>
            </w:r>
          </w:p>
        </w:tc>
      </w:tr>
    </w:tbl>
    <w:p w14:paraId="477B1C19" w14:textId="65BBF557" w:rsidR="00C76935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6C00256" w14:textId="16CD48F2" w:rsidR="00942378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5C743831" w14:textId="77777777" w:rsidR="00942378" w:rsidRPr="00D013EC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8509DF" w14:paraId="1B841C21" w14:textId="77777777" w:rsidTr="00942378">
        <w:tc>
          <w:tcPr>
            <w:tcW w:w="8055" w:type="dxa"/>
            <w:shd w:val="clear" w:color="auto" w:fill="auto"/>
          </w:tcPr>
          <w:p w14:paraId="6AB9B42E" w14:textId="230A7344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22DF5460" w14:textId="1951BC61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942378" w14:paraId="4071B305" w14:textId="77777777" w:rsidTr="00942378">
              <w:tc>
                <w:tcPr>
                  <w:tcW w:w="4715" w:type="dxa"/>
                  <w:shd w:val="clear" w:color="auto" w:fill="auto"/>
                </w:tcPr>
                <w:p w14:paraId="3C0423E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5E165CE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6508B8C2" w14:textId="1AA4C824" w:rsidR="00F2715D" w:rsidRPr="00F2715D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F2715D" w:rsidRPr="00F2715D">
                    <w:rPr>
                      <w:rFonts w:ascii="Verdana" w:hAnsi="Verdana"/>
                      <w:sz w:val="20"/>
                      <w:szCs w:val="20"/>
                    </w:rPr>
                    <w:t xml:space="preserve"> 121151, г. Москва, ул. Можайский Вал, д. 8</w:t>
                  </w:r>
                </w:p>
                <w:p w14:paraId="330B3500" w14:textId="71412DA8" w:rsidR="00942378" w:rsidRPr="00942378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F2715D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Д</w:t>
                  </w:r>
                </w:p>
                <w:p w14:paraId="3C85759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66FC356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749AC387" w14:textId="64CCC95C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704C1AE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32B23DA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7AF33E99" w14:textId="77777777" w:rsidR="00942378" w:rsidRPr="00942378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0B5701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2B9ADE2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F4A55C9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1CA0060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D7D1C3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3AF8248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F25CF02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8836B2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4B362F4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0E8211A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44AC2F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325E2A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F76178A" w14:textId="77777777" w:rsidR="00942378" w:rsidRPr="00942378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C601074" w14:textId="28CDFE3B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19EF541" w14:textId="77777777" w:rsidR="00942378" w:rsidRPr="008509DF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50DBFCF" w14:textId="77777777" w:rsidR="00942378" w:rsidRPr="008509DF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C1D13BA" w14:textId="60D9CC69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79FB5E3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970D4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F8DB81" w14:textId="210D711F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456E00E5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8251B39" w14:textId="194B45C8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C247EBE" w14:textId="77777777" w:rsidR="00942378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7C0D555" w14:textId="77777777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FD7F871" w14:textId="77777777" w:rsidR="003F012D" w:rsidRDefault="009A0232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1B62F44C" w14:textId="0EDA6954" w:rsidR="003F012D" w:rsidRDefault="003F012D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612D">
        <w:rPr>
          <w:rFonts w:ascii="Verdana" w:hAnsi="Verdana"/>
          <w:sz w:val="20"/>
          <w:szCs w:val="20"/>
        </w:rPr>
        <w:t>1</w:t>
      </w:r>
    </w:p>
    <w:p w14:paraId="3E42DB28" w14:textId="3DDFEC6E" w:rsidR="003F012D" w:rsidRPr="008509DF" w:rsidRDefault="003F012D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5DE5551" w14:textId="43A73D54" w:rsidR="003F012D" w:rsidRDefault="003F0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1E89743" w14:textId="41CB950D" w:rsidR="003F612D" w:rsidRDefault="003F6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</w:p>
    <w:p w14:paraId="3A21E2C6" w14:textId="057023B3" w:rsidR="003F612D" w:rsidRPr="0065632D" w:rsidRDefault="0065632D" w:rsidP="0065632D">
      <w:pPr>
        <w:pStyle w:val="ConsNonformat"/>
        <w:tabs>
          <w:tab w:val="left" w:pos="1276"/>
        </w:tabs>
        <w:contextualSpacing/>
        <w:jc w:val="center"/>
        <w:rPr>
          <w:rFonts w:ascii="Verdana" w:eastAsia="Calibri" w:hAnsi="Verdana" w:cs="Open Sans"/>
          <w:b/>
          <w:snapToGrid/>
          <w:color w:val="000000"/>
          <w:lang w:eastAsia="en-US"/>
        </w:rPr>
      </w:pPr>
      <w:r w:rsidRPr="0065632D">
        <w:rPr>
          <w:rFonts w:ascii="Verdana" w:eastAsia="Calibri" w:hAnsi="Verdana" w:cs="Open Sans"/>
          <w:b/>
          <w:snapToGrid/>
          <w:color w:val="000000"/>
          <w:lang w:eastAsia="en-US"/>
        </w:rPr>
        <w:t>Перечень движимого имущества</w:t>
      </w:r>
    </w:p>
    <w:p w14:paraId="1B4B1FB0" w14:textId="77777777" w:rsidR="0065632D" w:rsidRDefault="006563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817"/>
      </w:tblGrid>
      <w:tr w:rsidR="003F612D" w:rsidRPr="000115C6" w14:paraId="39218D69" w14:textId="77777777" w:rsidTr="00BE2954">
        <w:trPr>
          <w:trHeight w:val="229"/>
        </w:trPr>
        <w:tc>
          <w:tcPr>
            <w:tcW w:w="647" w:type="dxa"/>
          </w:tcPr>
          <w:p w14:paraId="0F1B256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17" w:type="dxa"/>
          </w:tcPr>
          <w:p w14:paraId="1F776EB0" w14:textId="5378F910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чение и краткая характеристика имущества</w:t>
            </w:r>
          </w:p>
        </w:tc>
      </w:tr>
      <w:tr w:rsidR="003F612D" w:rsidRPr="000115C6" w14:paraId="28F6915B" w14:textId="77777777" w:rsidTr="00BE2954">
        <w:trPr>
          <w:trHeight w:val="229"/>
        </w:trPr>
        <w:tc>
          <w:tcPr>
            <w:tcW w:w="647" w:type="dxa"/>
          </w:tcPr>
          <w:p w14:paraId="41D568DF" w14:textId="40C31ED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7" w:type="dxa"/>
          </w:tcPr>
          <w:p w14:paraId="3325158B" w14:textId="347D8487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F8B7B73" w14:textId="77777777" w:rsidTr="00BE2954">
        <w:trPr>
          <w:trHeight w:val="230"/>
        </w:trPr>
        <w:tc>
          <w:tcPr>
            <w:tcW w:w="647" w:type="dxa"/>
          </w:tcPr>
          <w:p w14:paraId="16332362" w14:textId="4A997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7" w:type="dxa"/>
          </w:tcPr>
          <w:p w14:paraId="42E1197A" w14:textId="314EC44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</w:p>
        </w:tc>
      </w:tr>
      <w:tr w:rsidR="003F612D" w:rsidRPr="000115C6" w14:paraId="3CBCD2F7" w14:textId="77777777" w:rsidTr="00BE2954">
        <w:trPr>
          <w:trHeight w:val="229"/>
        </w:trPr>
        <w:tc>
          <w:tcPr>
            <w:tcW w:w="647" w:type="dxa"/>
          </w:tcPr>
          <w:p w14:paraId="550BDC5E" w14:textId="37C0F25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7" w:type="dxa"/>
          </w:tcPr>
          <w:p w14:paraId="4311EA13" w14:textId="47B78F1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4FD30FF" w14:textId="77777777" w:rsidTr="00BE2954">
        <w:trPr>
          <w:trHeight w:val="229"/>
        </w:trPr>
        <w:tc>
          <w:tcPr>
            <w:tcW w:w="647" w:type="dxa"/>
          </w:tcPr>
          <w:p w14:paraId="32F615AA" w14:textId="566EC8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7" w:type="dxa"/>
          </w:tcPr>
          <w:p w14:paraId="25A9DC9F" w14:textId="35CD7FFC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</w:p>
        </w:tc>
      </w:tr>
      <w:tr w:rsidR="003F612D" w:rsidRPr="000115C6" w14:paraId="2E092FC0" w14:textId="77777777" w:rsidTr="00BE2954">
        <w:trPr>
          <w:trHeight w:val="229"/>
        </w:trPr>
        <w:tc>
          <w:tcPr>
            <w:tcW w:w="647" w:type="dxa"/>
          </w:tcPr>
          <w:p w14:paraId="004D49B5" w14:textId="10BBF52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17" w:type="dxa"/>
          </w:tcPr>
          <w:p w14:paraId="30116407" w14:textId="27B3C15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</w:p>
        </w:tc>
      </w:tr>
      <w:tr w:rsidR="003F612D" w:rsidRPr="000115C6" w14:paraId="0A7A16A3" w14:textId="77777777" w:rsidTr="00BE2954">
        <w:trPr>
          <w:trHeight w:val="229"/>
        </w:trPr>
        <w:tc>
          <w:tcPr>
            <w:tcW w:w="647" w:type="dxa"/>
          </w:tcPr>
          <w:p w14:paraId="3179B4D7" w14:textId="350B60B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17" w:type="dxa"/>
          </w:tcPr>
          <w:p w14:paraId="251B58A6" w14:textId="360DC5F5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</w:p>
        </w:tc>
      </w:tr>
      <w:tr w:rsidR="003F612D" w:rsidRPr="000115C6" w14:paraId="3D5EB07C" w14:textId="77777777" w:rsidTr="00BE2954">
        <w:trPr>
          <w:trHeight w:val="149"/>
        </w:trPr>
        <w:tc>
          <w:tcPr>
            <w:tcW w:w="647" w:type="dxa"/>
          </w:tcPr>
          <w:p w14:paraId="08C31A0C" w14:textId="7EE641E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17" w:type="dxa"/>
          </w:tcPr>
          <w:p w14:paraId="3FCB05FE" w14:textId="2AA58390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1E6FB1" w14:textId="77777777" w:rsidTr="00BE2954">
        <w:trPr>
          <w:trHeight w:val="147"/>
        </w:trPr>
        <w:tc>
          <w:tcPr>
            <w:tcW w:w="647" w:type="dxa"/>
          </w:tcPr>
          <w:p w14:paraId="74A56B52" w14:textId="4CC9A1B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7" w:type="dxa"/>
          </w:tcPr>
          <w:p w14:paraId="091326AC" w14:textId="1A2023A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C732442" w14:textId="77777777" w:rsidTr="00BE2954">
        <w:trPr>
          <w:trHeight w:val="149"/>
        </w:trPr>
        <w:tc>
          <w:tcPr>
            <w:tcW w:w="647" w:type="dxa"/>
          </w:tcPr>
          <w:p w14:paraId="46AFC246" w14:textId="57BB03C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7" w:type="dxa"/>
          </w:tcPr>
          <w:p w14:paraId="5FBCE3A0" w14:textId="078F2ED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DF781F" w14:textId="77777777" w:rsidTr="00BE2954">
        <w:trPr>
          <w:trHeight w:val="229"/>
        </w:trPr>
        <w:tc>
          <w:tcPr>
            <w:tcW w:w="647" w:type="dxa"/>
          </w:tcPr>
          <w:p w14:paraId="1842FBC7" w14:textId="33F4B71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7" w:type="dxa"/>
          </w:tcPr>
          <w:p w14:paraId="5CC1C840" w14:textId="548B70D9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61908-00075/22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509E7CC" w14:textId="77777777" w:rsidTr="00BE2954">
        <w:trPr>
          <w:trHeight w:val="147"/>
        </w:trPr>
        <w:tc>
          <w:tcPr>
            <w:tcW w:w="647" w:type="dxa"/>
          </w:tcPr>
          <w:p w14:paraId="0F10202C" w14:textId="4259559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7" w:type="dxa"/>
          </w:tcPr>
          <w:p w14:paraId="78AEE277" w14:textId="1726FB9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0D82F9" w14:textId="77777777" w:rsidTr="00BE2954">
        <w:trPr>
          <w:trHeight w:val="147"/>
        </w:trPr>
        <w:tc>
          <w:tcPr>
            <w:tcW w:w="647" w:type="dxa"/>
          </w:tcPr>
          <w:p w14:paraId="680E2C50" w14:textId="233D807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7" w:type="dxa"/>
          </w:tcPr>
          <w:p w14:paraId="02C6E38A" w14:textId="6AE00AD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31F2158" w14:textId="77777777" w:rsidTr="00BE2954">
        <w:trPr>
          <w:trHeight w:val="147"/>
        </w:trPr>
        <w:tc>
          <w:tcPr>
            <w:tcW w:w="647" w:type="dxa"/>
          </w:tcPr>
          <w:p w14:paraId="3D667621" w14:textId="5CD27E1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7" w:type="dxa"/>
          </w:tcPr>
          <w:p w14:paraId="1ECEAA81" w14:textId="5D3CEA21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D7AFF7D" w14:textId="77777777" w:rsidTr="00BE2954">
        <w:trPr>
          <w:trHeight w:val="229"/>
        </w:trPr>
        <w:tc>
          <w:tcPr>
            <w:tcW w:w="647" w:type="dxa"/>
          </w:tcPr>
          <w:p w14:paraId="6C4EFEB7" w14:textId="445BD8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7" w:type="dxa"/>
          </w:tcPr>
          <w:p w14:paraId="2D8E92D7" w14:textId="2A344E7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4352F82" w14:textId="77777777" w:rsidTr="00BE2954">
        <w:trPr>
          <w:trHeight w:val="229"/>
        </w:trPr>
        <w:tc>
          <w:tcPr>
            <w:tcW w:w="647" w:type="dxa"/>
          </w:tcPr>
          <w:p w14:paraId="12A81EA0" w14:textId="7591CBE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17" w:type="dxa"/>
          </w:tcPr>
          <w:p w14:paraId="56ABAD26" w14:textId="5E32073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4278707" w14:textId="77777777" w:rsidTr="00BE2954">
        <w:trPr>
          <w:trHeight w:val="149"/>
        </w:trPr>
        <w:tc>
          <w:tcPr>
            <w:tcW w:w="647" w:type="dxa"/>
          </w:tcPr>
          <w:p w14:paraId="576C42C0" w14:textId="74EE66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17" w:type="dxa"/>
          </w:tcPr>
          <w:p w14:paraId="6F49A640" w14:textId="78EF380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0E0B9AB" w14:textId="77777777" w:rsidTr="00BE2954">
        <w:trPr>
          <w:trHeight w:val="229"/>
        </w:trPr>
        <w:tc>
          <w:tcPr>
            <w:tcW w:w="647" w:type="dxa"/>
          </w:tcPr>
          <w:p w14:paraId="5B7405C3" w14:textId="735D287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17" w:type="dxa"/>
          </w:tcPr>
          <w:p w14:paraId="0D0DEB1A" w14:textId="1B1D41E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597F387" w14:textId="77777777" w:rsidTr="00BE2954">
        <w:trPr>
          <w:trHeight w:val="149"/>
        </w:trPr>
        <w:tc>
          <w:tcPr>
            <w:tcW w:w="647" w:type="dxa"/>
          </w:tcPr>
          <w:p w14:paraId="083FA214" w14:textId="5E8EAF3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7" w:type="dxa"/>
          </w:tcPr>
          <w:p w14:paraId="0C397B49" w14:textId="41DB3FC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20A5028E" w14:textId="77777777" w:rsidTr="00BE2954">
        <w:trPr>
          <w:trHeight w:val="147"/>
        </w:trPr>
        <w:tc>
          <w:tcPr>
            <w:tcW w:w="647" w:type="dxa"/>
          </w:tcPr>
          <w:p w14:paraId="71666C10" w14:textId="691A9E2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17" w:type="dxa"/>
          </w:tcPr>
          <w:p w14:paraId="014CA2D8" w14:textId="45B11D94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2A4E131" w14:textId="77777777" w:rsidTr="00BE2954">
        <w:trPr>
          <w:trHeight w:val="149"/>
        </w:trPr>
        <w:tc>
          <w:tcPr>
            <w:tcW w:w="647" w:type="dxa"/>
          </w:tcPr>
          <w:p w14:paraId="755FD73A" w14:textId="77C3429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17" w:type="dxa"/>
          </w:tcPr>
          <w:p w14:paraId="78D0BD82" w14:textId="4E2BED6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A4FAA09" w14:textId="77777777" w:rsidTr="00BE2954">
        <w:trPr>
          <w:trHeight w:val="147"/>
        </w:trPr>
        <w:tc>
          <w:tcPr>
            <w:tcW w:w="647" w:type="dxa"/>
          </w:tcPr>
          <w:p w14:paraId="4A5FE4C0" w14:textId="167FB49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17" w:type="dxa"/>
          </w:tcPr>
          <w:p w14:paraId="5BD76C52" w14:textId="5D2872B3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05E3302" w14:textId="77777777" w:rsidTr="00BE2954">
        <w:trPr>
          <w:trHeight w:val="147"/>
        </w:trPr>
        <w:tc>
          <w:tcPr>
            <w:tcW w:w="647" w:type="dxa"/>
          </w:tcPr>
          <w:p w14:paraId="0D3B11E2" w14:textId="7B00AB6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7" w:type="dxa"/>
          </w:tcPr>
          <w:p w14:paraId="2E29D32F" w14:textId="3EBF360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133B911" w14:textId="77777777" w:rsidTr="00BE2954">
        <w:trPr>
          <w:trHeight w:val="147"/>
        </w:trPr>
        <w:tc>
          <w:tcPr>
            <w:tcW w:w="647" w:type="dxa"/>
          </w:tcPr>
          <w:p w14:paraId="68D7BC40" w14:textId="38BB50B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17" w:type="dxa"/>
          </w:tcPr>
          <w:p w14:paraId="375DCC13" w14:textId="493559E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6C64E61" w14:textId="77777777" w:rsidTr="00BE2954">
        <w:trPr>
          <w:trHeight w:val="147"/>
        </w:trPr>
        <w:tc>
          <w:tcPr>
            <w:tcW w:w="647" w:type="dxa"/>
          </w:tcPr>
          <w:p w14:paraId="284F8D9B" w14:textId="1858C42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17" w:type="dxa"/>
          </w:tcPr>
          <w:p w14:paraId="0EF83147" w14:textId="680D408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61908-00075/20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58377F" w14:textId="77777777" w:rsidTr="00BE2954">
        <w:trPr>
          <w:trHeight w:val="60"/>
        </w:trPr>
        <w:tc>
          <w:tcPr>
            <w:tcW w:w="647" w:type="dxa"/>
          </w:tcPr>
          <w:p w14:paraId="30B9E1EA" w14:textId="32C740A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17" w:type="dxa"/>
          </w:tcPr>
          <w:p w14:paraId="661C9F74" w14:textId="356E0C73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6F4FB57" w14:textId="77777777" w:rsidTr="00BE2954">
        <w:trPr>
          <w:trHeight w:val="60"/>
        </w:trPr>
        <w:tc>
          <w:tcPr>
            <w:tcW w:w="647" w:type="dxa"/>
          </w:tcPr>
          <w:p w14:paraId="4A55F434" w14:textId="74320B6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17" w:type="dxa"/>
          </w:tcPr>
          <w:p w14:paraId="5E864C66" w14:textId="4694842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E27DA13" w14:textId="77777777" w:rsidTr="00BE2954">
        <w:trPr>
          <w:trHeight w:val="60"/>
        </w:trPr>
        <w:tc>
          <w:tcPr>
            <w:tcW w:w="647" w:type="dxa"/>
          </w:tcPr>
          <w:p w14:paraId="6F5B192F" w14:textId="3F9AD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7" w:type="dxa"/>
          </w:tcPr>
          <w:p w14:paraId="14E22573" w14:textId="5FEA4DB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59CA9D5" w14:textId="77777777" w:rsidTr="00BE2954">
        <w:trPr>
          <w:trHeight w:val="60"/>
        </w:trPr>
        <w:tc>
          <w:tcPr>
            <w:tcW w:w="647" w:type="dxa"/>
          </w:tcPr>
          <w:p w14:paraId="39E5F2FA" w14:textId="403A075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17" w:type="dxa"/>
          </w:tcPr>
          <w:p w14:paraId="45A74620" w14:textId="1B15F70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C4B5445" w14:textId="77777777" w:rsidTr="00BE2954">
        <w:trPr>
          <w:trHeight w:val="60"/>
        </w:trPr>
        <w:tc>
          <w:tcPr>
            <w:tcW w:w="647" w:type="dxa"/>
          </w:tcPr>
          <w:p w14:paraId="162C57ED" w14:textId="6B7E458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17" w:type="dxa"/>
          </w:tcPr>
          <w:p w14:paraId="3E35E934" w14:textId="0300DB89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3956AE7" w14:textId="77777777" w:rsidTr="00BE2954">
        <w:trPr>
          <w:trHeight w:val="242"/>
        </w:trPr>
        <w:tc>
          <w:tcPr>
            <w:tcW w:w="647" w:type="dxa"/>
          </w:tcPr>
          <w:p w14:paraId="70ECCDB4" w14:textId="14DF83F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17" w:type="dxa"/>
          </w:tcPr>
          <w:p w14:paraId="479C6F4C" w14:textId="15401F71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102F534" w14:textId="77777777" w:rsidTr="00BE2954">
        <w:trPr>
          <w:trHeight w:val="60"/>
        </w:trPr>
        <w:tc>
          <w:tcPr>
            <w:tcW w:w="647" w:type="dxa"/>
          </w:tcPr>
          <w:p w14:paraId="6632D989" w14:textId="367028A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7" w:type="dxa"/>
          </w:tcPr>
          <w:p w14:paraId="47D050C2" w14:textId="015A7F5D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5DD1362" w14:textId="77777777" w:rsidTr="00BE2954">
        <w:trPr>
          <w:trHeight w:val="60"/>
        </w:trPr>
        <w:tc>
          <w:tcPr>
            <w:tcW w:w="647" w:type="dxa"/>
          </w:tcPr>
          <w:p w14:paraId="3985836A" w14:textId="60FF960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17" w:type="dxa"/>
          </w:tcPr>
          <w:p w14:paraId="520F43D6" w14:textId="12FF9CA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6801BF7" w14:textId="77777777" w:rsidTr="00BE2954">
        <w:trPr>
          <w:trHeight w:val="60"/>
        </w:trPr>
        <w:tc>
          <w:tcPr>
            <w:tcW w:w="647" w:type="dxa"/>
          </w:tcPr>
          <w:p w14:paraId="1D3D8A5E" w14:textId="4B09930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17" w:type="dxa"/>
          </w:tcPr>
          <w:p w14:paraId="5CF203F9" w14:textId="1CD802FF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A5CFD11" w14:textId="77777777" w:rsidTr="00BE2954">
        <w:trPr>
          <w:trHeight w:val="60"/>
        </w:trPr>
        <w:tc>
          <w:tcPr>
            <w:tcW w:w="647" w:type="dxa"/>
          </w:tcPr>
          <w:p w14:paraId="0BBDA7A1" w14:textId="2166C64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17" w:type="dxa"/>
          </w:tcPr>
          <w:p w14:paraId="05D47740" w14:textId="12EF400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7FC385A" w14:textId="77777777" w:rsidTr="00BE2954">
        <w:trPr>
          <w:trHeight w:val="60"/>
        </w:trPr>
        <w:tc>
          <w:tcPr>
            <w:tcW w:w="647" w:type="dxa"/>
          </w:tcPr>
          <w:p w14:paraId="5C65698A" w14:textId="165FC54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17" w:type="dxa"/>
          </w:tcPr>
          <w:p w14:paraId="398EB06B" w14:textId="3CB0F453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E63C3AB" w14:textId="77777777" w:rsidTr="00BE2954">
        <w:trPr>
          <w:trHeight w:val="60"/>
        </w:trPr>
        <w:tc>
          <w:tcPr>
            <w:tcW w:w="647" w:type="dxa"/>
          </w:tcPr>
          <w:p w14:paraId="420A8DCA" w14:textId="5D82D1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17" w:type="dxa"/>
          </w:tcPr>
          <w:p w14:paraId="29EE67F5" w14:textId="69F4C6C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246D761F" w14:textId="77777777" w:rsidTr="00BE2954">
        <w:trPr>
          <w:trHeight w:val="60"/>
        </w:trPr>
        <w:tc>
          <w:tcPr>
            <w:tcW w:w="647" w:type="dxa"/>
          </w:tcPr>
          <w:p w14:paraId="7456474B" w14:textId="248D1CF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17" w:type="dxa"/>
          </w:tcPr>
          <w:p w14:paraId="2CF9EFB9" w14:textId="1B66DDE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E80DB7C" w14:textId="77777777" w:rsidTr="00BE2954">
        <w:trPr>
          <w:trHeight w:val="60"/>
        </w:trPr>
        <w:tc>
          <w:tcPr>
            <w:tcW w:w="647" w:type="dxa"/>
          </w:tcPr>
          <w:p w14:paraId="165944D4" w14:textId="62468A9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17" w:type="dxa"/>
          </w:tcPr>
          <w:p w14:paraId="79B22A04" w14:textId="0E48DC4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</w:tr>
      <w:tr w:rsidR="003F612D" w:rsidRPr="000115C6" w14:paraId="00C9D2D4" w14:textId="77777777" w:rsidTr="00BE2954">
        <w:trPr>
          <w:trHeight w:val="60"/>
        </w:trPr>
        <w:tc>
          <w:tcPr>
            <w:tcW w:w="647" w:type="dxa"/>
          </w:tcPr>
          <w:p w14:paraId="1071133E" w14:textId="13E4A88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17" w:type="dxa"/>
          </w:tcPr>
          <w:p w14:paraId="5CFBFA47" w14:textId="7E8B1F58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0395D52" w14:textId="77777777" w:rsidTr="00BE2954">
        <w:trPr>
          <w:trHeight w:val="60"/>
        </w:trPr>
        <w:tc>
          <w:tcPr>
            <w:tcW w:w="647" w:type="dxa"/>
          </w:tcPr>
          <w:p w14:paraId="59A9AE2F" w14:textId="7065120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17" w:type="dxa"/>
          </w:tcPr>
          <w:p w14:paraId="5D8C307E" w14:textId="1128AD4C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</w:tbl>
    <w:p w14:paraId="7551368B" w14:textId="77777777" w:rsidR="003F612D" w:rsidRPr="007D2ACC" w:rsidRDefault="003F61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p w14:paraId="3D4CEFBA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11911F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541B5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A688E2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BDE0E8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0E1503A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ECF9776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F2744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6C632BD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95E0D3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DED319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A5534C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1D5C5A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10D577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92E175E" w14:textId="552308B3" w:rsidR="00E74C5A" w:rsidRDefault="00E74C5A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31C0AEA1" w14:textId="77777777" w:rsidR="003F012D" w:rsidRDefault="00DD5861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2</w:t>
      </w:r>
    </w:p>
    <w:p w14:paraId="2AA1547E" w14:textId="587239AA" w:rsidR="00DD5861" w:rsidRPr="008509DF" w:rsidRDefault="00DD5861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0A1C3DDA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2EB5C1F" w14:textId="77777777" w:rsidR="00CB719B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95D127C" w14:textId="71273011" w:rsidR="00DD5861" w:rsidRPr="008509DF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A2D501C" w14:textId="77777777" w:rsidR="00CB719B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04097C" w14:textId="2BC1858E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58CB491E" w14:textId="42321ABA" w:rsidR="007D2ACC" w:rsidRDefault="00DD5861" w:rsidP="00B3796D">
      <w:pPr>
        <w:widowControl w:val="0"/>
        <w:numPr>
          <w:ilvl w:val="0"/>
          <w:numId w:val="29"/>
        </w:numPr>
        <w:tabs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(далее именуемое – «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мущество»): 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B3796D" w:rsidRPr="003F612D" w14:paraId="7CF41C7D" w14:textId="77777777" w:rsidTr="00BD1813">
        <w:trPr>
          <w:trHeight w:val="229"/>
        </w:trPr>
        <w:tc>
          <w:tcPr>
            <w:tcW w:w="647" w:type="dxa"/>
          </w:tcPr>
          <w:p w14:paraId="7ACE6A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BDBC339" w14:textId="017987AC" w:rsidR="00B3796D" w:rsidRPr="003F612D" w:rsidRDefault="00B3796D" w:rsidP="003A0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3A07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18DD4D8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3796D" w:rsidRPr="003F612D" w14:paraId="2D34090D" w14:textId="77777777" w:rsidTr="00BD1813">
        <w:trPr>
          <w:trHeight w:val="229"/>
        </w:trPr>
        <w:tc>
          <w:tcPr>
            <w:tcW w:w="647" w:type="dxa"/>
          </w:tcPr>
          <w:p w14:paraId="3BF5EF8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64F3F612" w14:textId="70E72FB9" w:rsidR="00B3796D" w:rsidRPr="003F612D" w:rsidRDefault="00B3796D" w:rsidP="003A070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здание, назначение: нежилое здание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кадастровый номер 77:06:0008002:1045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общей площадью 29 984 кв.м.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количество этажей, в том числе подземных этажей: 5, в том числе подземных 1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адрес (местонахождение): г. Москва, ул. Обручева, д.52, стр.3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расположенное на земельном участке общей площадью 15 865 ± 44 кв.м., с кадастровым номером 77:06:0008002:1004, принадлежащем Продавцу на праве аренды на основании Договора аренды земельного участка №М-06-036364 от 21.11.2011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61906-00013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E34086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DF44A7E" w14:textId="77777777" w:rsidTr="00BD1813">
        <w:trPr>
          <w:trHeight w:val="229"/>
        </w:trPr>
        <w:tc>
          <w:tcPr>
            <w:tcW w:w="647" w:type="dxa"/>
          </w:tcPr>
          <w:p w14:paraId="404C0E4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40CC18AD" w14:textId="58C5419B" w:rsidR="00B3796D" w:rsidRPr="003F612D" w:rsidRDefault="00B3796D" w:rsidP="00DC05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Право аренды на земельный участок общей площадью 15 865 ± 44 кв.м., с кадастровым номером 77:06:0008002:1004, 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(1.2.7)). Право аренды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Земельный участок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принадлежит Продавцу на праве аренды на основании Договора аренды земельного участка №М-06-036364 от 21.11.2011</w:t>
            </w:r>
            <w:r w:rsidRPr="00B3796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между Продавцом (арендатор) и Департаментом городского имущества города Москвы (арендодатель)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Срок аренды: до 19.08.2060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0DB73B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AE7559B" w14:textId="77777777" w:rsidTr="00BD1813">
        <w:trPr>
          <w:trHeight w:val="229"/>
        </w:trPr>
        <w:tc>
          <w:tcPr>
            <w:tcW w:w="647" w:type="dxa"/>
          </w:tcPr>
          <w:p w14:paraId="0FDA910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4EFA776F" w14:textId="654C197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C4B88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EB91334" w14:textId="77777777" w:rsidTr="00BD1813">
        <w:trPr>
          <w:trHeight w:val="230"/>
        </w:trPr>
        <w:tc>
          <w:tcPr>
            <w:tcW w:w="647" w:type="dxa"/>
          </w:tcPr>
          <w:p w14:paraId="67CBD0E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11194313" w14:textId="67E27D7F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2EE2A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DAF14BF" w14:textId="77777777" w:rsidTr="00BD1813">
        <w:trPr>
          <w:trHeight w:val="229"/>
        </w:trPr>
        <w:tc>
          <w:tcPr>
            <w:tcW w:w="647" w:type="dxa"/>
          </w:tcPr>
          <w:p w14:paraId="2D228E2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21B35278" w14:textId="5A0D123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6F8E3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959F648" w14:textId="77777777" w:rsidTr="00BD1813">
        <w:trPr>
          <w:trHeight w:val="229"/>
        </w:trPr>
        <w:tc>
          <w:tcPr>
            <w:tcW w:w="647" w:type="dxa"/>
          </w:tcPr>
          <w:p w14:paraId="10BB8B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05D70223" w14:textId="367A7821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9A27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2D46088" w14:textId="77777777" w:rsidTr="00BD1813">
        <w:trPr>
          <w:trHeight w:val="229"/>
        </w:trPr>
        <w:tc>
          <w:tcPr>
            <w:tcW w:w="647" w:type="dxa"/>
          </w:tcPr>
          <w:p w14:paraId="3B4A269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26B62633" w14:textId="0F8AE1FB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E43BB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A01AACC" w14:textId="77777777" w:rsidTr="00BD1813">
        <w:trPr>
          <w:trHeight w:val="229"/>
        </w:trPr>
        <w:tc>
          <w:tcPr>
            <w:tcW w:w="647" w:type="dxa"/>
          </w:tcPr>
          <w:p w14:paraId="188814F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37989C6C" w14:textId="27F4D2C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4B5B5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12486EC" w14:textId="77777777" w:rsidTr="00BD1813">
        <w:trPr>
          <w:trHeight w:val="149"/>
        </w:trPr>
        <w:tc>
          <w:tcPr>
            <w:tcW w:w="647" w:type="dxa"/>
          </w:tcPr>
          <w:p w14:paraId="2D023B2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49A37E43" w14:textId="1F9BE76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2FB4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1A791F6" w14:textId="77777777" w:rsidTr="00BD1813">
        <w:trPr>
          <w:trHeight w:val="147"/>
        </w:trPr>
        <w:tc>
          <w:tcPr>
            <w:tcW w:w="647" w:type="dxa"/>
          </w:tcPr>
          <w:p w14:paraId="5158F83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5D37C9DF" w14:textId="3F1F59F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48531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BD29151" w14:textId="77777777" w:rsidTr="00BD1813">
        <w:trPr>
          <w:trHeight w:val="149"/>
        </w:trPr>
        <w:tc>
          <w:tcPr>
            <w:tcW w:w="647" w:type="dxa"/>
          </w:tcPr>
          <w:p w14:paraId="04975B9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3DA185CC" w14:textId="2006759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96CA0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50962CC" w14:textId="77777777" w:rsidTr="00BD1813">
        <w:trPr>
          <w:trHeight w:val="229"/>
        </w:trPr>
        <w:tc>
          <w:tcPr>
            <w:tcW w:w="647" w:type="dxa"/>
          </w:tcPr>
          <w:p w14:paraId="681DB19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563377B3" w14:textId="530F76B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83F98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DEA5373" w14:textId="77777777" w:rsidTr="00BD1813">
        <w:trPr>
          <w:trHeight w:val="147"/>
        </w:trPr>
        <w:tc>
          <w:tcPr>
            <w:tcW w:w="647" w:type="dxa"/>
          </w:tcPr>
          <w:p w14:paraId="64201E6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3F3A22CA" w14:textId="776FC76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55780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CDCDC45" w14:textId="77777777" w:rsidTr="00BD1813">
        <w:trPr>
          <w:trHeight w:val="147"/>
        </w:trPr>
        <w:tc>
          <w:tcPr>
            <w:tcW w:w="647" w:type="dxa"/>
          </w:tcPr>
          <w:p w14:paraId="3190316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03C31E79" w14:textId="6B6C79C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74BF5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42C8012" w14:textId="77777777" w:rsidTr="00BD1813">
        <w:trPr>
          <w:trHeight w:val="147"/>
        </w:trPr>
        <w:tc>
          <w:tcPr>
            <w:tcW w:w="647" w:type="dxa"/>
          </w:tcPr>
          <w:p w14:paraId="6FFB2C7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11E6A722" w14:textId="791EB2E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8A670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3ACA780" w14:textId="77777777" w:rsidTr="00BD1813">
        <w:trPr>
          <w:trHeight w:val="229"/>
        </w:trPr>
        <w:tc>
          <w:tcPr>
            <w:tcW w:w="647" w:type="dxa"/>
          </w:tcPr>
          <w:p w14:paraId="3A39F6F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5CC39BE5" w14:textId="435778E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40954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81F05A" w14:textId="77777777" w:rsidTr="00BD1813">
        <w:trPr>
          <w:trHeight w:val="229"/>
        </w:trPr>
        <w:tc>
          <w:tcPr>
            <w:tcW w:w="647" w:type="dxa"/>
          </w:tcPr>
          <w:p w14:paraId="71A2D55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0EDFE791" w14:textId="2066EF82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EC3618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9ED67B6" w14:textId="77777777" w:rsidTr="00BD1813">
        <w:trPr>
          <w:trHeight w:val="149"/>
        </w:trPr>
        <w:tc>
          <w:tcPr>
            <w:tcW w:w="647" w:type="dxa"/>
          </w:tcPr>
          <w:p w14:paraId="5BEEAB3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6E2C8812" w14:textId="07928E3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D6D01D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275155" w14:textId="77777777" w:rsidTr="00BD1813">
        <w:trPr>
          <w:trHeight w:val="229"/>
        </w:trPr>
        <w:tc>
          <w:tcPr>
            <w:tcW w:w="647" w:type="dxa"/>
          </w:tcPr>
          <w:p w14:paraId="43B05E3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601B97E2" w14:textId="639AEC9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9E978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E3EEB6A" w14:textId="77777777" w:rsidTr="00BD1813">
        <w:trPr>
          <w:trHeight w:val="149"/>
        </w:trPr>
        <w:tc>
          <w:tcPr>
            <w:tcW w:w="647" w:type="dxa"/>
          </w:tcPr>
          <w:p w14:paraId="4768146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7EE47EAC" w14:textId="0FB5A9A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DC8DF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545E55B" w14:textId="77777777" w:rsidTr="00BD1813">
        <w:trPr>
          <w:trHeight w:val="147"/>
        </w:trPr>
        <w:tc>
          <w:tcPr>
            <w:tcW w:w="647" w:type="dxa"/>
          </w:tcPr>
          <w:p w14:paraId="1ED9FB3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2B86CE7C" w14:textId="4AC8431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DAC47A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7CC6AF9" w14:textId="77777777" w:rsidTr="00BD1813">
        <w:trPr>
          <w:trHeight w:val="149"/>
        </w:trPr>
        <w:tc>
          <w:tcPr>
            <w:tcW w:w="647" w:type="dxa"/>
          </w:tcPr>
          <w:p w14:paraId="657C882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757F6367" w14:textId="41BCE34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3156B9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F98D166" w14:textId="77777777" w:rsidTr="00BD1813">
        <w:trPr>
          <w:trHeight w:val="147"/>
        </w:trPr>
        <w:tc>
          <w:tcPr>
            <w:tcW w:w="647" w:type="dxa"/>
          </w:tcPr>
          <w:p w14:paraId="5830AF5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5EC48BFA" w14:textId="6A92D39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53AE61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29C757C" w14:textId="77777777" w:rsidTr="00BD1813">
        <w:trPr>
          <w:trHeight w:val="147"/>
        </w:trPr>
        <w:tc>
          <w:tcPr>
            <w:tcW w:w="647" w:type="dxa"/>
          </w:tcPr>
          <w:p w14:paraId="14A60AE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40FBFE87" w14:textId="45CBE6F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60620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4DFC44A" w14:textId="77777777" w:rsidTr="00BD1813">
        <w:trPr>
          <w:trHeight w:val="147"/>
        </w:trPr>
        <w:tc>
          <w:tcPr>
            <w:tcW w:w="647" w:type="dxa"/>
          </w:tcPr>
          <w:p w14:paraId="77540DE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6EA75546" w14:textId="7606622C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F5B5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9EEE078" w14:textId="77777777" w:rsidTr="00BD1813">
        <w:trPr>
          <w:trHeight w:val="147"/>
        </w:trPr>
        <w:tc>
          <w:tcPr>
            <w:tcW w:w="647" w:type="dxa"/>
          </w:tcPr>
          <w:p w14:paraId="577A20C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034745BD" w14:textId="00DBAC8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04B0AE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00FA8E9" w14:textId="77777777" w:rsidTr="00BD1813">
        <w:trPr>
          <w:trHeight w:val="60"/>
        </w:trPr>
        <w:tc>
          <w:tcPr>
            <w:tcW w:w="647" w:type="dxa"/>
          </w:tcPr>
          <w:p w14:paraId="1C26392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016C6E89" w14:textId="629FF189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7D9228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3BB85B1" w14:textId="77777777" w:rsidTr="00BD1813">
        <w:trPr>
          <w:trHeight w:val="60"/>
        </w:trPr>
        <w:tc>
          <w:tcPr>
            <w:tcW w:w="647" w:type="dxa"/>
          </w:tcPr>
          <w:p w14:paraId="13CFB3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221BCE4E" w14:textId="48B5A59F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C6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473947D" w14:textId="77777777" w:rsidTr="00BD1813">
        <w:trPr>
          <w:trHeight w:val="60"/>
        </w:trPr>
        <w:tc>
          <w:tcPr>
            <w:tcW w:w="647" w:type="dxa"/>
          </w:tcPr>
          <w:p w14:paraId="1C04A0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78914054" w14:textId="2DFBC433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5DCC4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5C0D98F" w14:textId="77777777" w:rsidTr="00BD1813">
        <w:trPr>
          <w:trHeight w:val="60"/>
        </w:trPr>
        <w:tc>
          <w:tcPr>
            <w:tcW w:w="647" w:type="dxa"/>
          </w:tcPr>
          <w:p w14:paraId="41147C9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49FD80E1" w14:textId="5EA5D461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461C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D12D32D" w14:textId="77777777" w:rsidTr="00BD1813">
        <w:trPr>
          <w:trHeight w:val="60"/>
        </w:trPr>
        <w:tc>
          <w:tcPr>
            <w:tcW w:w="647" w:type="dxa"/>
          </w:tcPr>
          <w:p w14:paraId="7267021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74C8F117" w14:textId="12CDF4EA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D6088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2E8C48A" w14:textId="77777777" w:rsidTr="00BD1813">
        <w:trPr>
          <w:trHeight w:val="242"/>
        </w:trPr>
        <w:tc>
          <w:tcPr>
            <w:tcW w:w="647" w:type="dxa"/>
          </w:tcPr>
          <w:p w14:paraId="163C49E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21EBF39E" w14:textId="063FC138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EDBFEC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00E18CDA" w14:textId="77777777" w:rsidTr="00BD1813">
        <w:trPr>
          <w:trHeight w:val="60"/>
        </w:trPr>
        <w:tc>
          <w:tcPr>
            <w:tcW w:w="647" w:type="dxa"/>
          </w:tcPr>
          <w:p w14:paraId="36C882BA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454BF3F0" w14:textId="2D79E3A0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DA0AE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97B6711" w14:textId="77777777" w:rsidTr="00BD1813">
        <w:trPr>
          <w:trHeight w:val="60"/>
        </w:trPr>
        <w:tc>
          <w:tcPr>
            <w:tcW w:w="647" w:type="dxa"/>
          </w:tcPr>
          <w:p w14:paraId="67E5328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5ECF5841" w14:textId="35F7DBC9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3798F4D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3C90D779" w14:textId="77777777" w:rsidTr="00BD1813">
        <w:trPr>
          <w:trHeight w:val="60"/>
        </w:trPr>
        <w:tc>
          <w:tcPr>
            <w:tcW w:w="647" w:type="dxa"/>
          </w:tcPr>
          <w:p w14:paraId="0E2DFF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15A3088A" w14:textId="3F5AB52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8B4989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65FF67AB" w14:textId="77777777" w:rsidTr="00BD1813">
        <w:trPr>
          <w:trHeight w:val="60"/>
        </w:trPr>
        <w:tc>
          <w:tcPr>
            <w:tcW w:w="647" w:type="dxa"/>
          </w:tcPr>
          <w:p w14:paraId="1BA71A7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74AF3B71" w14:textId="2BAFD1CC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18853B1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4051162" w14:textId="77777777" w:rsidTr="00BD1813">
        <w:trPr>
          <w:trHeight w:val="60"/>
        </w:trPr>
        <w:tc>
          <w:tcPr>
            <w:tcW w:w="647" w:type="dxa"/>
          </w:tcPr>
          <w:p w14:paraId="1238F81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2E918D87" w14:textId="251A231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EF365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C46F69C" w14:textId="77777777" w:rsidTr="00BD1813">
        <w:trPr>
          <w:trHeight w:val="60"/>
        </w:trPr>
        <w:tc>
          <w:tcPr>
            <w:tcW w:w="647" w:type="dxa"/>
          </w:tcPr>
          <w:p w14:paraId="2178ABA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2D5DF159" w14:textId="7C32CAA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00A858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1D2BED2" w14:textId="77777777" w:rsidTr="00BD1813">
        <w:trPr>
          <w:trHeight w:val="60"/>
        </w:trPr>
        <w:tc>
          <w:tcPr>
            <w:tcW w:w="647" w:type="dxa"/>
          </w:tcPr>
          <w:p w14:paraId="696F92D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78603516" w14:textId="36234020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E1930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AA19E5D" w14:textId="77777777" w:rsidTr="00BD1813">
        <w:trPr>
          <w:trHeight w:val="60"/>
        </w:trPr>
        <w:tc>
          <w:tcPr>
            <w:tcW w:w="647" w:type="dxa"/>
          </w:tcPr>
          <w:p w14:paraId="3CEF767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49A0E748" w14:textId="2E5FF89B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  <w:tc>
          <w:tcPr>
            <w:tcW w:w="1701" w:type="dxa"/>
          </w:tcPr>
          <w:p w14:paraId="3CD5A18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F1128F8" w14:textId="77777777" w:rsidTr="00BD1813">
        <w:trPr>
          <w:trHeight w:val="60"/>
        </w:trPr>
        <w:tc>
          <w:tcPr>
            <w:tcW w:w="647" w:type="dxa"/>
          </w:tcPr>
          <w:p w14:paraId="5545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5CDEA0AA" w14:textId="61396DB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C6720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393D89D" w14:textId="77777777" w:rsidTr="00BD1813">
        <w:trPr>
          <w:trHeight w:val="60"/>
        </w:trPr>
        <w:tc>
          <w:tcPr>
            <w:tcW w:w="647" w:type="dxa"/>
          </w:tcPr>
          <w:p w14:paraId="605D95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01357156" w14:textId="7B6EF49A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4992D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1AC2AD67" w14:textId="77777777" w:rsidR="00CB719B" w:rsidRDefault="00CB719B" w:rsidP="00CB719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412FB5" w14:textId="1449FD94" w:rsidR="00DC0518" w:rsidRPr="00F60CE3" w:rsidRDefault="00DD5861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F60CE3">
        <w:rPr>
          <w:rFonts w:ascii="Verdana" w:hAnsi="Verdana"/>
        </w:rPr>
        <w:t xml:space="preserve">Фактическое и техническое состояние </w:t>
      </w:r>
      <w:r w:rsidR="003A0704">
        <w:rPr>
          <w:rFonts w:ascii="Verdana" w:hAnsi="Verdana"/>
        </w:rPr>
        <w:t>И</w:t>
      </w:r>
      <w:r w:rsidRPr="00F60CE3">
        <w:rPr>
          <w:rFonts w:ascii="Verdana" w:hAnsi="Verdana"/>
        </w:rPr>
        <w:t xml:space="preserve">мущества 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253167">
        <w:rPr>
          <w:rFonts w:ascii="Verdana" w:hAnsi="Verdana"/>
        </w:rPr>
        <w:t>И</w:t>
      </w:r>
      <w:r w:rsidRPr="00F60CE3">
        <w:rPr>
          <w:rFonts w:ascii="Verdana" w:hAnsi="Verdana"/>
        </w:rPr>
        <w:t>мущество</w:t>
      </w:r>
      <w:r w:rsidR="00F60CE3">
        <w:rPr>
          <w:rFonts w:ascii="Verdana" w:hAnsi="Verdana"/>
        </w:rPr>
        <w:t xml:space="preserve"> </w:t>
      </w:r>
      <w:r w:rsidR="00F60CE3" w:rsidRPr="00F60CE3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53167">
        <w:rPr>
          <w:rFonts w:ascii="Verdana" w:hAnsi="Verdana" w:cs="Verdana"/>
          <w:color w:val="000000"/>
        </w:rPr>
        <w:t>И</w:t>
      </w:r>
      <w:r w:rsidR="00F60CE3" w:rsidRPr="00F60CE3">
        <w:rPr>
          <w:rFonts w:ascii="Verdana" w:hAnsi="Verdana" w:cs="Verdana"/>
          <w:color w:val="000000"/>
        </w:rPr>
        <w:t>му</w:t>
      </w:r>
      <w:r w:rsidR="00253167">
        <w:rPr>
          <w:rFonts w:ascii="Verdana" w:hAnsi="Verdana" w:cs="Verdana"/>
          <w:color w:val="000000"/>
        </w:rPr>
        <w:t>щество, изучил документацию на И</w:t>
      </w:r>
      <w:r w:rsidR="00F60CE3" w:rsidRPr="00F60CE3">
        <w:rPr>
          <w:rFonts w:ascii="Verdana" w:hAnsi="Verdana" w:cs="Verdana"/>
          <w:color w:val="000000"/>
        </w:rPr>
        <w:t xml:space="preserve">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F60CE3" w:rsidRPr="00F60CE3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F60CE3" w:rsidRPr="00F60CE3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F60CE3" w:rsidRPr="00F60CE3">
        <w:rPr>
          <w:rFonts w:ascii="Verdana" w:hAnsi="Verdana"/>
          <w:color w:val="000000" w:themeColor="text1"/>
        </w:rPr>
        <w:t xml:space="preserve">в том числе </w:t>
      </w:r>
      <w:r w:rsidR="00F60CE3" w:rsidRPr="00F60CE3">
        <w:rPr>
          <w:rFonts w:ascii="Verdana" w:hAnsi="Verdana"/>
        </w:rPr>
        <w:t>по арендным отношениям в отношении Земельного участка</w:t>
      </w:r>
      <w:r w:rsidR="00F60CE3" w:rsidRPr="00F60CE3">
        <w:rPr>
          <w:rFonts w:ascii="Verdana" w:hAnsi="Verdana"/>
          <w:color w:val="000000" w:themeColor="text1"/>
        </w:rPr>
        <w:t>,</w:t>
      </w:r>
      <w:r w:rsidR="00F60CE3" w:rsidRPr="00F60CE3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Нежилого здания может потребовать проведение мероприятий, связанных с</w:t>
      </w:r>
      <w:r w:rsidR="000906FF">
        <w:rPr>
          <w:rFonts w:ascii="Verdana" w:hAnsi="Verdana" w:cs="Verdana"/>
          <w:color w:val="000000"/>
        </w:rPr>
        <w:t xml:space="preserve"> его фактическим состоянием, в том числе с</w:t>
      </w:r>
      <w:r w:rsidR="00F60CE3" w:rsidRPr="00F60CE3">
        <w:rPr>
          <w:rFonts w:ascii="Verdana" w:hAnsi="Verdana" w:cs="Verdana"/>
          <w:color w:val="000000"/>
        </w:rPr>
        <w:t xml:space="preserve"> актуализацией сведений в ЕГРН</w:t>
      </w:r>
      <w:r w:rsidR="000906FF">
        <w:rPr>
          <w:rFonts w:ascii="Verdana" w:hAnsi="Verdana" w:cs="Verdana"/>
          <w:color w:val="000000"/>
        </w:rPr>
        <w:t>, в соответствии с законодательством Российской Федерации</w:t>
      </w:r>
      <w:r w:rsidR="00F60CE3">
        <w:rPr>
          <w:rFonts w:ascii="Verdana" w:hAnsi="Verdana" w:cs="Verdana"/>
          <w:color w:val="000000"/>
        </w:rPr>
        <w:t>.</w:t>
      </w:r>
    </w:p>
    <w:p w14:paraId="73F9C114" w14:textId="7EF553AA" w:rsidR="00F60CE3" w:rsidRPr="00F60CE3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D975AF">
        <w:rPr>
          <w:rFonts w:ascii="Verdana" w:hAnsi="Verdana"/>
          <w:color w:val="0070C0"/>
        </w:rPr>
        <w:t>__________________________</w:t>
      </w:r>
      <w:r>
        <w:rPr>
          <w:rFonts w:ascii="Verdana" w:hAnsi="Verdana"/>
        </w:rPr>
        <w:t>.</w:t>
      </w:r>
    </w:p>
    <w:p w14:paraId="42C9C68C" w14:textId="046D1DCC" w:rsidR="003F41E8" w:rsidRPr="008509DF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1D2C685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1E16B81B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8A1AAD7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23DB71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C4E8647" w14:textId="6C709DE3" w:rsidR="003F41E8" w:rsidRPr="008509DF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Нежилого здания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520153" w14:textId="078C3CBE" w:rsidR="00DD5861" w:rsidRPr="008509D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2D054FA8" w14:textId="49012F7A" w:rsidR="002508F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7C4D6C" w:rsidRPr="0055668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 (Двух)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силу,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и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Продавца</w:t>
      </w:r>
      <w:r w:rsidR="007C4D6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DADF9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5C16213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DC5D2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EEE6A60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B73AA1B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F51C7B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0F67A5B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64CA54A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6DB28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C66595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6D7EC502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58CC79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76307A1" w14:textId="77777777" w:rsidR="00AC04F1" w:rsidRDefault="00AC04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460163" w14:textId="0000BD19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3</w:t>
      </w:r>
    </w:p>
    <w:p w14:paraId="78B018B7" w14:textId="68A26AC5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383B9AD" w14:textId="1BE7BC27" w:rsidR="00686D08" w:rsidRPr="000C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60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 календарных </w:t>
      </w:r>
      <w:r w:rsidRPr="000C2791">
        <w:rPr>
          <w:rFonts w:ascii="Verdana" w:eastAsia="SimSun" w:hAnsi="Verdana"/>
          <w:kern w:val="1"/>
          <w:lang w:eastAsia="hi-IN" w:bidi="hi-IN"/>
        </w:rPr>
        <w:t>дней с даты открытия аккредитива.</w:t>
      </w:r>
    </w:p>
    <w:p w14:paraId="4F77044E" w14:textId="15CF8994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19AE19E2" w14:textId="77777777" w:rsidR="00F22FD7" w:rsidRPr="00F22FD7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F22FD7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F22FD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47812EA6" w:rsidR="00686D08" w:rsidRPr="00F22FD7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22FD7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>
        <w:rPr>
          <w:rFonts w:ascii="Verdana" w:eastAsia="SimSun" w:hAnsi="Verdana"/>
          <w:kern w:val="1"/>
          <w:lang w:eastAsia="hi-IN" w:bidi="hi-IN"/>
        </w:rPr>
        <w:t>300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="00F22FD7">
        <w:rPr>
          <w:rFonts w:ascii="Verdana" w:eastAsia="SimSun" w:hAnsi="Verdana"/>
          <w:kern w:val="1"/>
          <w:lang w:eastAsia="hi-IN" w:bidi="hi-IN"/>
        </w:rPr>
        <w:t>.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0D4B875C" w:rsidR="00686D08" w:rsidRPr="000C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C2791">
        <w:rPr>
          <w:rFonts w:ascii="Verdana" w:eastAsia="Calibri" w:hAnsi="Verdana" w:cs="Arial"/>
        </w:rPr>
        <w:t xml:space="preserve"> документов: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17D6891B" w:rsidR="00686D08" w:rsidRPr="000C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C2497D" w14:textId="77777777" w:rsidR="00686D08" w:rsidRDefault="00686D08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="00F22FD7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ация о залоге в пользу Продавца (</w:t>
            </w:r>
            <w:r w:rsidR="00F22FD7" w:rsidRPr="00FA75A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1423B0B0" w14:textId="2AEDFC71" w:rsidR="00FA75AB" w:rsidRPr="008509DF" w:rsidRDefault="00FA75AB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6B1BA88D" w14:textId="77777777" w:rsidR="00F22FD7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DDF2DA3" w14:textId="3AEB2C9F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6B345F41" w:rsidR="00686D08" w:rsidRPr="00E63D9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9B3E77" w14:textId="12E6D0FE" w:rsidR="00FA75AB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</w:t>
            </w:r>
            <w:r w:rsidR="00FA75AB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2A4C23B" w14:textId="54B84BFF" w:rsidR="00686D08" w:rsidRPr="008509DF" w:rsidRDefault="00FA75AB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39069998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A37444">
        <w:rPr>
          <w:rFonts w:ascii="Verdana" w:hAnsi="Verdana"/>
        </w:rPr>
        <w:t xml:space="preserve">5 (Пяти)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A37444">
        <w:rPr>
          <w:rFonts w:ascii="Verdana" w:hAnsi="Verdana"/>
        </w:rPr>
        <w:t xml:space="preserve">30 (Тридцать)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</w:t>
      </w:r>
      <w:r w:rsidR="00FA75AB">
        <w:rPr>
          <w:rFonts w:ascii="Verdana" w:hAnsi="Verdana"/>
        </w:rPr>
        <w:t>с</w:t>
      </w:r>
      <w:r w:rsidRPr="008509DF">
        <w:rPr>
          <w:rFonts w:ascii="Verdana" w:hAnsi="Verdana"/>
        </w:rPr>
        <w:t>рок аккредитива) открытого аккредитива.</w:t>
      </w:r>
    </w:p>
    <w:p w14:paraId="7A7C7D4E" w14:textId="6AA24910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Покупатель обязуется не менее чем за </w:t>
      </w:r>
      <w:r w:rsidR="00FA75AB">
        <w:rPr>
          <w:rFonts w:ascii="Verdana" w:hAnsi="Verdana"/>
        </w:rPr>
        <w:t>5</w:t>
      </w:r>
      <w:r w:rsidRPr="00A72651">
        <w:rPr>
          <w:rFonts w:ascii="Verdana" w:hAnsi="Verdana"/>
        </w:rPr>
        <w:t xml:space="preserve"> (</w:t>
      </w:r>
      <w:r w:rsidR="00FA75AB">
        <w:rPr>
          <w:rFonts w:ascii="Verdana" w:hAnsi="Verdana"/>
        </w:rPr>
        <w:t>Пять</w:t>
      </w:r>
      <w:r w:rsidRPr="00A72651">
        <w:rPr>
          <w:rFonts w:ascii="Verdana" w:hAnsi="Verdana"/>
        </w:rPr>
        <w:t>) рабочих дн</w:t>
      </w:r>
      <w:r w:rsidR="00FA75AB">
        <w:rPr>
          <w:rFonts w:ascii="Verdana" w:hAnsi="Verdana"/>
        </w:rPr>
        <w:t>ей</w:t>
      </w:r>
      <w:r w:rsidRPr="00A72651">
        <w:rPr>
          <w:rFonts w:ascii="Verdana" w:hAnsi="Verdana"/>
        </w:rPr>
        <w:t xml:space="preserve"> до истечения срока действия аккредитива:</w:t>
      </w:r>
    </w:p>
    <w:p w14:paraId="55406E3B" w14:textId="77777777" w:rsidR="00FA75AB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>продлить/открыть аккредитив на тех же условиях на тот же срок и</w:t>
      </w:r>
    </w:p>
    <w:p w14:paraId="14E01785" w14:textId="37B5FEF9" w:rsidR="002C398A" w:rsidRPr="00A7265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73F2F84B" w14:textId="00F7BBF3" w:rsidR="002C398A" w:rsidRPr="00FA75AB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FA75AB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C8B7952" w14:textId="5102C141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FA75AB">
        <w:rPr>
          <w:rFonts w:ascii="Verdana" w:hAnsi="Verdana"/>
        </w:rPr>
        <w:t xml:space="preserve">действующим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B15C49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735FE04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12F21F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837AC5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DC7A98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758215C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B04C84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183F70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EA899F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5276B1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43A9A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2CFEE70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2DFB342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0D74FF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7898BAE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6485924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A7C33" w14:textId="57AEBC8A" w:rsidR="00686D08" w:rsidRPr="0055668A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4</w:t>
      </w:r>
    </w:p>
    <w:p w14:paraId="7F7B73E2" w14:textId="3760AF14" w:rsidR="00686D08" w:rsidRPr="0055668A" w:rsidRDefault="00707557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имущества</w:t>
      </w:r>
    </w:p>
    <w:p w14:paraId="3E19B09E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5668A">
        <w:rPr>
          <w:rFonts w:ascii="Verdana" w:hAnsi="Verdana" w:cs="Arial"/>
          <w:lang w:eastAsia="en-CA"/>
        </w:rPr>
        <w:t>от «___»_____________ 20__</w:t>
      </w:r>
    </w:p>
    <w:p w14:paraId="7A997FA0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C22258" w14:textId="2BCF6256" w:rsidR="00686D08" w:rsidRPr="0055668A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ПЕРЕЧЕНЬ 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>ДОГОВОРОВ</w:t>
      </w:r>
      <w:r w:rsidR="00083142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АРЕНДЫ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</w:t>
      </w:r>
    </w:p>
    <w:p w14:paraId="68FE43A7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1E3AED51" w14:textId="7E6EBCF9" w:rsidR="00686D08" w:rsidRDefault="00F86FB6" w:rsidP="0065632D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В отношении </w:t>
      </w:r>
      <w:r w:rsidR="00327AC4">
        <w:rPr>
          <w:rFonts w:ascii="Verdana" w:hAnsi="Verdana"/>
          <w:sz w:val="20"/>
          <w:szCs w:val="20"/>
        </w:rPr>
        <w:t>Нежилого здания</w:t>
      </w:r>
      <w:r w:rsidRPr="0055668A">
        <w:rPr>
          <w:rFonts w:ascii="Verdana" w:hAnsi="Verdana"/>
          <w:sz w:val="20"/>
          <w:szCs w:val="20"/>
        </w:rPr>
        <w:t xml:space="preserve"> заключены следующие договоры аренды: </w:t>
      </w:r>
    </w:p>
    <w:p w14:paraId="79548B59" w14:textId="66FD4337" w:rsidR="00327AC4" w:rsidRDefault="001814A0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Договор аренды нежилых помещений № К/АР-ОБ/2 от 22.10.2014 (с учетом Дополнительного соглашения №1 от 09.09.2015, Дополнительного соглашения №2 от 01.10.2015, Дополнительного соглашения №3 от 29.02.2016, Дополнительного соглашения №4 от 08.06.2016, Дополнительного соглашения №5 от 31.03.2017, Дополнительного соглашения №6 от 01.04.2017, Дополнительного соглашения №7 от 12.02.2018, Дополнительного соглашения №8 от 01.10.2018, Дополнительного соглашения №9 от 04.03.2019, Дополнительного соглашения №10 от 25.06.2019, Дополнительного соглашения №11 от 01.04.2020, Дополнительного соглашения №12 от 14.12.2020, Дополнительного соглашения №13 от 26.01.2021) между АО «АВТОАССИСТАНС» (арендатор) и Продавцом (арендодатель). Объектом аренды являются нежилые помещения в Нежилом здании общей площадью 874,98 кв.м. Срок аренды: неопределенный срок в соответствии с п.2 ст.621 Гражданского кодекса Российской Федерации.</w:t>
      </w:r>
    </w:p>
    <w:p w14:paraId="42BE0D1F" w14:textId="77777777" w:rsidR="000E0A30" w:rsidRPr="00327AC4" w:rsidRDefault="006017C0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Договор аренды нежилых помещений № К/АР-ОБ/6-1 от 01.03.2016 (с учетом </w:t>
      </w:r>
    </w:p>
    <w:p w14:paraId="2D5B1BB8" w14:textId="38FF85FA" w:rsidR="00FB1B82" w:rsidRDefault="000E0A30" w:rsidP="007C6353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Дополнительного соглашения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№1 от 30.01.2017, Дополнительного соглашения №2 от 20.12.2017, Дополнительного соглашения №3 от 20.02.2018, Дополнительного соглашения №4 от 28.11.2018, Дополнительного соглашения №5 от 20.12.2018, Дополнительного соглашения №6 от 27.05.2019, Дополнительного соглашения №7 от 14.10.2019, Дополнительного соглашения №8 от 16.12.2019, Дополнительного соглашения №9 от 29.06.2020, Дополнительного соглашения №10 от 18.12.2020</w:t>
      </w:r>
      <w:r w:rsidR="007C6353">
        <w:rPr>
          <w:rFonts w:ascii="Verdana" w:eastAsia="Times New Roman" w:hAnsi="Verdana" w:cs="Times New Roman"/>
          <w:sz w:val="20"/>
          <w:szCs w:val="20"/>
          <w:lang w:eastAsia="ru-RU"/>
        </w:rPr>
        <w:t>, Дополнительного соглашения №б/н от 23.12.2021, Дополнительного соглашения №036113 от 12.07.2022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между ООО «ЛегионКом» (арендатор) и Продавцом (арендодатель). 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Объектом аренды являются нежилые помещения в Нежилом здании общей площадью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16,97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кв.м. Срок аренды: неопределенный срок в соответствии с п.2 ст.621 Гражданского кодекса Российской Федерации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61B5407" w14:textId="087CF938" w:rsidR="007C6353" w:rsidRDefault="007C6353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 w:rsidR="002F23D6"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 xml:space="preserve">№ 035954 от 01.07.2022 </w:t>
      </w:r>
      <w:r w:rsidRPr="007C6353">
        <w:rPr>
          <w:rFonts w:ascii="Verdana" w:hAnsi="Verdana"/>
        </w:rPr>
        <w:t xml:space="preserve">между </w:t>
      </w:r>
      <w:r w:rsidR="002F23D6">
        <w:rPr>
          <w:rFonts w:ascii="Verdana" w:hAnsi="Verdana"/>
        </w:rPr>
        <w:t>АО</w:t>
      </w:r>
      <w:r w:rsidRPr="007C6353">
        <w:rPr>
          <w:rFonts w:ascii="Verdana" w:hAnsi="Verdana"/>
        </w:rPr>
        <w:t xml:space="preserve"> «</w:t>
      </w:r>
      <w:r w:rsidR="002F23D6">
        <w:rPr>
          <w:rFonts w:ascii="Verdana" w:hAnsi="Verdana"/>
        </w:rPr>
        <w:t>ИнжЭнергоПроект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2F23D6">
        <w:rPr>
          <w:rFonts w:ascii="Verdana" w:hAnsi="Verdana"/>
        </w:rPr>
        <w:t>692,0</w:t>
      </w:r>
      <w:r w:rsidRPr="007C6353">
        <w:rPr>
          <w:rFonts w:ascii="Verdana" w:hAnsi="Verdana"/>
        </w:rPr>
        <w:t xml:space="preserve"> кв.м. Срок аренды: </w:t>
      </w:r>
      <w:r w:rsidR="002F23D6">
        <w:rPr>
          <w:rFonts w:ascii="Verdana" w:hAnsi="Verdana"/>
        </w:rPr>
        <w:t>11 месяцев с 01.07.2022</w:t>
      </w:r>
      <w:r w:rsidRPr="007C6353">
        <w:rPr>
          <w:rFonts w:ascii="Verdana" w:hAnsi="Verdana"/>
        </w:rPr>
        <w:t>.</w:t>
      </w:r>
    </w:p>
    <w:p w14:paraId="69DF0B88" w14:textId="52A0980B" w:rsidR="002F23D6" w:rsidRPr="007C6353" w:rsidRDefault="002F23D6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 xml:space="preserve">№ 036292 от 20.07.2022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КОКОС МОСКОУ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545,3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>11 месяцев с 20.07.2022</w:t>
      </w:r>
      <w:r w:rsidRPr="007C6353">
        <w:rPr>
          <w:rFonts w:ascii="Verdana" w:hAnsi="Verdana"/>
        </w:rPr>
        <w:t>.</w:t>
      </w:r>
    </w:p>
    <w:p w14:paraId="503ADD8B" w14:textId="36953718" w:rsidR="002F23D6" w:rsidRPr="007C6353" w:rsidRDefault="002F23D6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 xml:space="preserve">№ 036209 от 14.07.2022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Медсервис-Групп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2D2C44">
        <w:rPr>
          <w:rFonts w:ascii="Verdana" w:hAnsi="Verdana"/>
        </w:rPr>
        <w:t>151,2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2D2C44">
        <w:rPr>
          <w:rFonts w:ascii="Verdana" w:hAnsi="Verdana"/>
        </w:rPr>
        <w:t>14</w:t>
      </w:r>
      <w:r>
        <w:rPr>
          <w:rFonts w:ascii="Verdana" w:hAnsi="Verdana"/>
        </w:rPr>
        <w:t>.07.2022</w:t>
      </w:r>
      <w:r w:rsidRPr="007C6353">
        <w:rPr>
          <w:rFonts w:ascii="Verdana" w:hAnsi="Verdana"/>
        </w:rPr>
        <w:t>.</w:t>
      </w:r>
    </w:p>
    <w:p w14:paraId="1B1BCA60" w14:textId="1DEDFAD0" w:rsidR="002D2C44" w:rsidRPr="007C6353" w:rsidRDefault="002D2C44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№ 035631 от 20.06.2022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Модный дом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192,7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>11 месяцев с 20.06.2022</w:t>
      </w:r>
      <w:r w:rsidRPr="007C6353">
        <w:rPr>
          <w:rFonts w:ascii="Verdana" w:hAnsi="Verdana"/>
        </w:rPr>
        <w:t>.</w:t>
      </w:r>
    </w:p>
    <w:p w14:paraId="367E1BD4" w14:textId="2358816B" w:rsidR="002D2C44" w:rsidRPr="007C6353" w:rsidRDefault="002D2C44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№ </w:t>
      </w:r>
      <w:r w:rsidR="000828E9">
        <w:rPr>
          <w:rFonts w:ascii="Verdana" w:hAnsi="Verdana"/>
        </w:rPr>
        <w:t>034808</w:t>
      </w:r>
      <w:r>
        <w:rPr>
          <w:rFonts w:ascii="Verdana" w:hAnsi="Verdana"/>
        </w:rPr>
        <w:t xml:space="preserve"> от 20.06.2022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 w:rsidR="000828E9">
        <w:rPr>
          <w:rFonts w:ascii="Verdana" w:hAnsi="Verdana"/>
        </w:rPr>
        <w:t>ОБРУЧЕВ-КАНТИНА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0828E9">
        <w:rPr>
          <w:rFonts w:ascii="Verdana" w:hAnsi="Verdana"/>
        </w:rPr>
        <w:t>64,7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0828E9">
        <w:rPr>
          <w:rFonts w:ascii="Verdana" w:hAnsi="Verdana"/>
        </w:rPr>
        <w:t>31</w:t>
      </w:r>
      <w:r>
        <w:rPr>
          <w:rFonts w:ascii="Verdana" w:hAnsi="Verdana"/>
        </w:rPr>
        <w:t>.</w:t>
      </w:r>
      <w:r w:rsidR="000828E9">
        <w:rPr>
          <w:rFonts w:ascii="Verdana" w:hAnsi="Verdana"/>
        </w:rPr>
        <w:t>12.2021</w:t>
      </w:r>
      <w:r w:rsidRPr="007C6353">
        <w:rPr>
          <w:rFonts w:ascii="Verdana" w:hAnsi="Verdana"/>
        </w:rPr>
        <w:t>.</w:t>
      </w:r>
    </w:p>
    <w:p w14:paraId="76905CF9" w14:textId="602355AD" w:rsidR="000828E9" w:rsidRPr="007C6353" w:rsidRDefault="000828E9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>№ 03</w:t>
      </w:r>
      <w:r w:rsidR="00C1237D">
        <w:rPr>
          <w:rFonts w:ascii="Verdana" w:hAnsi="Verdana"/>
        </w:rPr>
        <w:t>6156</w:t>
      </w:r>
      <w:r>
        <w:rPr>
          <w:rFonts w:ascii="Verdana" w:hAnsi="Verdana"/>
        </w:rPr>
        <w:t xml:space="preserve"> от </w:t>
      </w:r>
      <w:r w:rsidR="00C1237D">
        <w:rPr>
          <w:rFonts w:ascii="Verdana" w:hAnsi="Verdana"/>
        </w:rPr>
        <w:t>12.07.2022</w:t>
      </w:r>
      <w:r>
        <w:rPr>
          <w:rFonts w:ascii="Verdana" w:hAnsi="Verdana"/>
        </w:rPr>
        <w:t xml:space="preserve"> </w:t>
      </w:r>
      <w:r w:rsidRPr="007C6353">
        <w:rPr>
          <w:rFonts w:ascii="Verdana" w:hAnsi="Verdana"/>
        </w:rPr>
        <w:t xml:space="preserve">между </w:t>
      </w:r>
      <w:r w:rsidR="00C1237D">
        <w:rPr>
          <w:rFonts w:ascii="Verdana" w:hAnsi="Verdana"/>
        </w:rPr>
        <w:t xml:space="preserve">ИП Пузанова О.В. </w:t>
      </w:r>
      <w:r w:rsidRPr="007C6353">
        <w:rPr>
          <w:rFonts w:ascii="Verdana" w:hAnsi="Verdana"/>
        </w:rPr>
        <w:t xml:space="preserve">(арендатор) и Продавцом (арендодатель). Объектом аренды являются нежилые помещения в Нежилом здании общей площадью </w:t>
      </w:r>
      <w:r w:rsidR="00C1237D">
        <w:rPr>
          <w:rFonts w:ascii="Verdana" w:hAnsi="Verdana"/>
        </w:rPr>
        <w:t>320,4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C1237D">
        <w:rPr>
          <w:rFonts w:ascii="Verdana" w:hAnsi="Verdana"/>
        </w:rPr>
        <w:t>12.07.2022</w:t>
      </w:r>
      <w:r w:rsidRPr="007C6353">
        <w:rPr>
          <w:rFonts w:ascii="Verdana" w:hAnsi="Verdana"/>
        </w:rPr>
        <w:t>.</w:t>
      </w:r>
    </w:p>
    <w:p w14:paraId="65F9FCE2" w14:textId="77777777" w:rsidR="002A0864" w:rsidRDefault="002A0864" w:rsidP="002A0864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F4244">
        <w:rPr>
          <w:rFonts w:ascii="Verdana" w:hAnsi="Verdana"/>
        </w:rPr>
        <w:t>Договор аренды недвижимого имущества № 03</w:t>
      </w:r>
      <w:r>
        <w:rPr>
          <w:rFonts w:ascii="Verdana" w:hAnsi="Verdana"/>
        </w:rPr>
        <w:t>6781</w:t>
      </w:r>
      <w:r w:rsidRPr="007F4244">
        <w:rPr>
          <w:rFonts w:ascii="Verdana" w:hAnsi="Verdana"/>
        </w:rPr>
        <w:t xml:space="preserve"> от </w:t>
      </w:r>
      <w:r>
        <w:rPr>
          <w:rFonts w:ascii="Verdana" w:hAnsi="Verdana"/>
        </w:rPr>
        <w:t>17.08</w:t>
      </w:r>
      <w:r w:rsidRPr="007F4244">
        <w:rPr>
          <w:rFonts w:ascii="Verdana" w:hAnsi="Verdana"/>
        </w:rPr>
        <w:t xml:space="preserve">.2022 между ИП </w:t>
      </w:r>
      <w:r>
        <w:rPr>
          <w:rFonts w:ascii="Verdana" w:hAnsi="Verdana"/>
        </w:rPr>
        <w:t>Соленов В.А</w:t>
      </w:r>
      <w:r w:rsidRPr="007F4244">
        <w:rPr>
          <w:rFonts w:ascii="Verdana" w:hAnsi="Verdana"/>
        </w:rPr>
        <w:t xml:space="preserve">.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360,9</w:t>
      </w:r>
      <w:r w:rsidRPr="007F4244">
        <w:rPr>
          <w:rFonts w:ascii="Verdana" w:hAnsi="Verdana"/>
        </w:rPr>
        <w:t xml:space="preserve"> кв.м. Срок аренды: 11 месяцев с 1</w:t>
      </w:r>
      <w:r>
        <w:rPr>
          <w:rFonts w:ascii="Verdana" w:hAnsi="Verdana"/>
        </w:rPr>
        <w:t>7</w:t>
      </w:r>
      <w:r w:rsidRPr="007F4244">
        <w:rPr>
          <w:rFonts w:ascii="Verdana" w:hAnsi="Verdana"/>
        </w:rPr>
        <w:t>.0</w:t>
      </w:r>
      <w:r>
        <w:rPr>
          <w:rFonts w:ascii="Verdana" w:hAnsi="Verdana"/>
        </w:rPr>
        <w:t>8</w:t>
      </w:r>
      <w:r w:rsidRPr="007F4244">
        <w:rPr>
          <w:rFonts w:ascii="Verdana" w:hAnsi="Verdana"/>
        </w:rPr>
        <w:t>.2022.</w:t>
      </w:r>
    </w:p>
    <w:p w14:paraId="426764FC" w14:textId="77777777" w:rsidR="002A0864" w:rsidRDefault="002A0864" w:rsidP="002A0864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Verdana" w:hAnsi="Verdana"/>
        </w:rPr>
      </w:pPr>
      <w:r w:rsidRPr="007F4244">
        <w:rPr>
          <w:rFonts w:ascii="Verdana" w:hAnsi="Verdana"/>
        </w:rPr>
        <w:t>Договор аренды недвижимого имущества № 03</w:t>
      </w:r>
      <w:r>
        <w:rPr>
          <w:rFonts w:ascii="Verdana" w:hAnsi="Verdana"/>
        </w:rPr>
        <w:t>6772</w:t>
      </w:r>
      <w:r w:rsidRPr="007F4244">
        <w:rPr>
          <w:rFonts w:ascii="Verdana" w:hAnsi="Verdana"/>
        </w:rPr>
        <w:t xml:space="preserve"> от </w:t>
      </w:r>
      <w:r>
        <w:rPr>
          <w:rFonts w:ascii="Verdana" w:hAnsi="Verdana"/>
        </w:rPr>
        <w:t>22.08</w:t>
      </w:r>
      <w:r w:rsidRPr="007F4244">
        <w:rPr>
          <w:rFonts w:ascii="Verdana" w:hAnsi="Verdana"/>
        </w:rPr>
        <w:t xml:space="preserve">.2022 между </w:t>
      </w:r>
      <w:r>
        <w:rPr>
          <w:rFonts w:ascii="Verdana" w:hAnsi="Verdana"/>
        </w:rPr>
        <w:t>ООО «БРС»</w:t>
      </w:r>
      <w:r w:rsidRPr="007F4244">
        <w:rPr>
          <w:rFonts w:ascii="Verdana" w:hAnsi="Verdana"/>
        </w:rPr>
        <w:t xml:space="preserve">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166,6</w:t>
      </w:r>
      <w:r w:rsidRPr="007F4244">
        <w:rPr>
          <w:rFonts w:ascii="Verdana" w:hAnsi="Verdana"/>
        </w:rPr>
        <w:t xml:space="preserve"> кв.м. Срок аренды: 11 месяцев с </w:t>
      </w:r>
      <w:r>
        <w:rPr>
          <w:rFonts w:ascii="Verdana" w:hAnsi="Verdana"/>
        </w:rPr>
        <w:t>22</w:t>
      </w:r>
      <w:r w:rsidRPr="007F4244">
        <w:rPr>
          <w:rFonts w:ascii="Verdana" w:hAnsi="Verdana"/>
        </w:rPr>
        <w:t>.0</w:t>
      </w:r>
      <w:r>
        <w:rPr>
          <w:rFonts w:ascii="Verdana" w:hAnsi="Verdana"/>
        </w:rPr>
        <w:t>8</w:t>
      </w:r>
      <w:r w:rsidRPr="007F4244">
        <w:rPr>
          <w:rFonts w:ascii="Verdana" w:hAnsi="Verdana"/>
        </w:rPr>
        <w:t>.2022.</w:t>
      </w:r>
    </w:p>
    <w:p w14:paraId="7BA46118" w14:textId="77777777" w:rsidR="007C6353" w:rsidRPr="000E0A30" w:rsidRDefault="007C6353" w:rsidP="0065632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6736" w:rsidRPr="000E0A30" w14:paraId="14CB1AE9" w14:textId="77777777" w:rsidTr="002F6736">
        <w:tc>
          <w:tcPr>
            <w:tcW w:w="9345" w:type="dxa"/>
          </w:tcPr>
          <w:p w14:paraId="2261962E" w14:textId="77777777" w:rsidR="002F6736" w:rsidRPr="000E0A30" w:rsidRDefault="002F6736" w:rsidP="00E5228B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5A832F" w14:textId="77777777" w:rsidR="002F6736" w:rsidRPr="00E017BB" w:rsidRDefault="002F6736" w:rsidP="00E5228B">
      <w:pPr>
        <w:jc w:val="both"/>
        <w:rPr>
          <w:rFonts w:ascii="Verdana" w:hAnsi="Verdana"/>
          <w:sz w:val="20"/>
          <w:szCs w:val="20"/>
        </w:rPr>
      </w:pPr>
    </w:p>
    <w:p w14:paraId="24DB1DC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512AD6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92BB7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02E4115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83AAB4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B38A0C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167C763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FCEFA5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677CFC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7326FB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44F3B03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3BC39C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F1A8652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9FE577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2E4F0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E1F4" w14:textId="77777777" w:rsidR="00B37E6C" w:rsidRDefault="00B37E6C" w:rsidP="00E33D4F">
      <w:pPr>
        <w:spacing w:after="0" w:line="240" w:lineRule="auto"/>
      </w:pPr>
      <w:r>
        <w:separator/>
      </w:r>
    </w:p>
  </w:endnote>
  <w:endnote w:type="continuationSeparator" w:id="0">
    <w:p w14:paraId="71C006C5" w14:textId="77777777" w:rsidR="00B37E6C" w:rsidRDefault="00B37E6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05AAF68C" w14:textId="7AEC53CF" w:rsidR="007C6353" w:rsidRDefault="007C635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864">
          <w:rPr>
            <w:noProof/>
          </w:rPr>
          <w:t>21</w:t>
        </w:r>
        <w:r>
          <w:fldChar w:fldCharType="end"/>
        </w:r>
      </w:p>
    </w:sdtContent>
  </w:sdt>
  <w:p w14:paraId="0AC1054C" w14:textId="77777777" w:rsidR="007C6353" w:rsidRDefault="007C63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13A9" w14:textId="77777777" w:rsidR="00B37E6C" w:rsidRDefault="00B37E6C" w:rsidP="00E33D4F">
      <w:pPr>
        <w:spacing w:after="0" w:line="240" w:lineRule="auto"/>
      </w:pPr>
      <w:r>
        <w:separator/>
      </w:r>
    </w:p>
  </w:footnote>
  <w:footnote w:type="continuationSeparator" w:id="0">
    <w:p w14:paraId="19B52721" w14:textId="77777777" w:rsidR="00B37E6C" w:rsidRDefault="00B37E6C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0"/>
  </w:num>
  <w:num w:numId="4">
    <w:abstractNumId w:val="28"/>
  </w:num>
  <w:num w:numId="5">
    <w:abstractNumId w:val="25"/>
  </w:num>
  <w:num w:numId="6">
    <w:abstractNumId w:val="15"/>
  </w:num>
  <w:num w:numId="7">
    <w:abstractNumId w:val="4"/>
  </w:num>
  <w:num w:numId="8">
    <w:abstractNumId w:val="5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2"/>
  </w:num>
  <w:num w:numId="14">
    <w:abstractNumId w:val="6"/>
  </w:num>
  <w:num w:numId="15">
    <w:abstractNumId w:val="0"/>
  </w:num>
  <w:num w:numId="16">
    <w:abstractNumId w:val="13"/>
  </w:num>
  <w:num w:numId="17">
    <w:abstractNumId w:val="31"/>
  </w:num>
  <w:num w:numId="18">
    <w:abstractNumId w:val="16"/>
  </w:num>
  <w:num w:numId="19">
    <w:abstractNumId w:val="10"/>
  </w:num>
  <w:num w:numId="20">
    <w:abstractNumId w:val="24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7"/>
  </w:num>
  <w:num w:numId="26">
    <w:abstractNumId w:val="33"/>
  </w:num>
  <w:num w:numId="27">
    <w:abstractNumId w:val="27"/>
  </w:num>
  <w:num w:numId="28">
    <w:abstractNumId w:val="11"/>
  </w:num>
  <w:num w:numId="29">
    <w:abstractNumId w:val="37"/>
  </w:num>
  <w:num w:numId="30">
    <w:abstractNumId w:val="32"/>
  </w:num>
  <w:num w:numId="31">
    <w:abstractNumId w:val="26"/>
  </w:num>
  <w:num w:numId="32">
    <w:abstractNumId w:val="1"/>
  </w:num>
  <w:num w:numId="33">
    <w:abstractNumId w:val="8"/>
  </w:num>
  <w:num w:numId="34">
    <w:abstractNumId w:val="23"/>
  </w:num>
  <w:num w:numId="35">
    <w:abstractNumId w:val="19"/>
  </w:num>
  <w:num w:numId="36">
    <w:abstractNumId w:val="17"/>
  </w:num>
  <w:num w:numId="37">
    <w:abstractNumId w:val="3"/>
  </w:num>
  <w:num w:numId="38">
    <w:abstractNumId w:val="38"/>
  </w:num>
  <w:num w:numId="39">
    <w:abstractNumId w:val="2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45ED"/>
    <w:rsid w:val="000F7023"/>
    <w:rsid w:val="001024FD"/>
    <w:rsid w:val="00102FE7"/>
    <w:rsid w:val="0010369A"/>
    <w:rsid w:val="00103A3A"/>
    <w:rsid w:val="00106775"/>
    <w:rsid w:val="001102D9"/>
    <w:rsid w:val="00111061"/>
    <w:rsid w:val="001116FB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3BAA"/>
    <w:rsid w:val="0029521F"/>
    <w:rsid w:val="00297D30"/>
    <w:rsid w:val="002A07D2"/>
    <w:rsid w:val="002A0864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21064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0704"/>
    <w:rsid w:val="003A1B23"/>
    <w:rsid w:val="003A36C1"/>
    <w:rsid w:val="003A3708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6C6E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17FE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42E6"/>
    <w:rsid w:val="00645BF6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0D96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1E91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60335"/>
    <w:rsid w:val="00A60CFB"/>
    <w:rsid w:val="00A62111"/>
    <w:rsid w:val="00A63B0F"/>
    <w:rsid w:val="00A64373"/>
    <w:rsid w:val="00A67887"/>
    <w:rsid w:val="00A7151A"/>
    <w:rsid w:val="00A71D0F"/>
    <w:rsid w:val="00A77877"/>
    <w:rsid w:val="00A77FA0"/>
    <w:rsid w:val="00A80F6F"/>
    <w:rsid w:val="00A81BE4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3EBE"/>
    <w:rsid w:val="00B14899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5E20"/>
    <w:rsid w:val="00CA02DD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7B71-7D63-4FBF-9645-82E38108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8717</Words>
  <Characters>49692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2022-09-28T11:53:00Z</dcterms:created>
  <dcterms:modified xsi:type="dcterms:W3CDTF">2022-09-28T11:53:00Z</dcterms:modified>
</cp:coreProperties>
</file>