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96" w:rsidRPr="00670FD1" w:rsidRDefault="006C6696" w:rsidP="006C6696">
      <w:pPr>
        <w:spacing w:before="120" w:after="120" w:line="276" w:lineRule="auto"/>
        <w:rPr>
          <w:rFonts w:ascii="Arial Narrow" w:eastAsia="Calibri" w:hAnsi="Arial Narrow"/>
          <w:b/>
          <w:sz w:val="20"/>
          <w:szCs w:val="20"/>
          <w:u w:val="single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00"/>
      </w:tblGrid>
      <w:tr w:rsidR="006C6696" w:rsidRPr="00203190" w:rsidTr="00986654">
        <w:tc>
          <w:tcPr>
            <w:tcW w:w="9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F9" w:rsidRDefault="00554C9E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proofErr w:type="gramStart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Организатор торгов - конкурсный управляющий ООО "</w:t>
            </w:r>
            <w:r w:rsidR="00203190">
              <w:rPr>
                <w:rFonts w:ascii="Arial Narrow" w:eastAsia="Calibri" w:hAnsi="Arial Narrow"/>
                <w:noProof/>
                <w:sz w:val="20"/>
                <w:szCs w:val="20"/>
              </w:rPr>
              <w:t>Комплекс-КА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" (ОГРН 1088602002994, ИНН 8602072159, адрес 628418, </w:t>
            </w:r>
            <w:r w:rsidR="005C028C">
              <w:rPr>
                <w:rFonts w:ascii="Arial Narrow" w:hAnsi="Arial Narrow" w:cs="Times New Roman CYR"/>
                <w:bCs/>
                <w:noProof/>
                <w:sz w:val="20"/>
                <w:szCs w:val="20"/>
              </w:rPr>
              <w:t>Ханты-Мансийский автономный округ - Югра, город Сургут, улица Профсоюзов, дом 11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, решением Арбитражного суда Ханты-Мансийского автономного округа-Югры от 2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>7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.11.2020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5C028C" w:rsidRPr="005C028C">
              <w:rPr>
                <w:rFonts w:ascii="Arial Narrow" w:eastAsia="Calibri" w:hAnsi="Arial Narrow"/>
                <w:noProof/>
                <w:sz w:val="20"/>
                <w:szCs w:val="20"/>
              </w:rPr>
              <w:t>(резолютивная часть объявлена 26.11.2020 г.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>)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по делу № А75-20452/2019 введена процедура конкурсного производства) – Боднар Иван Георгиевич (ИНН 891300059133, СНИЛС 063-449-825 81, почтовый адрес: 625037, Тюменская область, г.Тюмень,ул. Ямская</w:t>
            </w:r>
            <w:proofErr w:type="gramEnd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, 87 А, оф. 509,  а/я 628, адрес электронной почты: arbitr-72@mail.ru, контактный номер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+79292001650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) - член САУ "СРО"ДЕЛО" (ОГРН 1035002205919, ИНН 5010029544, адрес: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фактический адрес: 125284, г Москва, Хорошевское шоссе, 32А, оф.300, а/я 22; юридический адрес: 141307, Московская область, г.о. Сергиево-Посадский, г. Сергиев Посад, ул. Гефсиманские пруды, д. 4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)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, сообщает о продаже имущества ООО "</w:t>
            </w:r>
            <w:r w:rsidR="00203190">
              <w:rPr>
                <w:rFonts w:ascii="Arial Narrow" w:eastAsia="Calibri" w:hAnsi="Arial Narrow"/>
                <w:noProof/>
                <w:sz w:val="20"/>
                <w:szCs w:val="20"/>
              </w:rPr>
              <w:t>Комплекс-КА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" на электронных торгах в форме открытого аукциона с открытой формой представления предложений о цене. </w:t>
            </w:r>
          </w:p>
          <w:p w:rsidR="009C0D89" w:rsidRDefault="00554C9E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Предмет торгов: </w:t>
            </w:r>
          </w:p>
          <w:p w:rsidR="009C0D89" w:rsidRPr="009C0D89" w:rsidRDefault="00554C9E" w:rsidP="009C0D8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r w:rsidRPr="001E5BF9">
              <w:rPr>
                <w:rFonts w:ascii="Arial Narrow" w:eastAsia="Calibri" w:hAnsi="Arial Narrow"/>
                <w:b/>
                <w:noProof/>
                <w:sz w:val="20"/>
                <w:szCs w:val="20"/>
              </w:rPr>
              <w:t>лот № 1:</w:t>
            </w:r>
            <w:r w:rsidR="001E5BF9">
              <w:rPr>
                <w:rFonts w:ascii="Arial Narrow" w:eastAsia="Calibri" w:hAnsi="Arial Narrow"/>
                <w:b/>
                <w:noProof/>
                <w:sz w:val="20"/>
                <w:szCs w:val="20"/>
              </w:rPr>
              <w:t xml:space="preserve"> </w:t>
            </w:r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«Имущественный комплекс ТРК «АГОРА», расположенный по адресу: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ХМАО-Югра, г. Сургут, улица Профсоюзов, 11» в составе имущества, принадлежащего ООО «Комплекс-КА» и являющегося предметом залога Банка «ТРАСТ» (ПАО), 8 списочных позиций: 1) Недвижимое имущество - Нежилое здание - Торгово-развлекательный комплекс, к.н. 86:10:0101117:317, площадью 39 287,1 кв.м.;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2) Право аренды земельного участка к.н. 86:10:0101117:21 площадью 9 471 кв.м.; 3) Внутренние инженерные сети</w:t>
            </w:r>
            <w:proofErr w:type="gramEnd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водоснабжения и водоотведения, 000000055; 4) Система вентиляции и кондиционирования, 000000058;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5) Система видеонаблюдения, 000000057; 6) Система контроля доступа в здании ТРЦ (Офисные блоки), БП-000011; 7) Система пож. сигнализации и речевого оповещения (Дочки-Сыночки), 000000064; 8) Система электроснабжения и электроосвещения, 000000056; а так же имущества, не являющегося предметом залога (свободного от прав третьих лиц), но неразрывно связанного с имуществом, являющимся предметом залога, а так же движимого и недвижимого имущества, функционально связанного с основным объектом, 16 списочных позиций: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9) Лифт пасс. на 3 остановки, 000000025; 10) Лифт пасс. на 4 остановки, 000000026;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11) Лифт пасс. на 6 остановок, 000000027; 12) Лифт пасс. на 6 остановок, 000000028; 13) Лифт пасс. на 6 остановок, 000000029; 14) Лифт пасс. на 6 остановок, 000000030; 15) Лифт пасс. на 6 остановок, 000000031; 16) Лифт пасс. на 6 остановок, 000000032; 17) Эскалатор высота подъема 3600мм, 000000033; 18) Эскалатор высота подъема 3600мм, 000000034;</w:t>
            </w:r>
            <w:proofErr w:type="gramEnd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19) Эскалатор высота подъема 3900мм, 000000035; 20) Эскалатор высота подъема 3900мм, 000000036; 21) Эскалатор высота подъема 3900мм, 000000037; 22) Эскалатор высота подъема 3900мм, 000000038; 23) Земельный участок под строительство котельной № 4 (право собственности, КН 86:10:0101117:406, ХМАО-Югра, г. Сургут, тер.</w:t>
            </w:r>
            <w:proofErr w:type="gramEnd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Северный промрайон, ул.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Профсоюзов, пл. 3467,00 кв.м);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24)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      </w:r>
            <w:proofErr w:type="gramEnd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Входное грязеочищающее покрытие Статус-Эффект бол., 000000003; Входное грязеочищающее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</w:t>
            </w:r>
            <w:proofErr w:type="gramEnd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 Модус "Волна", 000000010; Модус "Волна", 000000011; Модус "Волна", 000000012; Модус 6,4, 000000013; Модус 6,4, 000000014; Модус 6,4, 000000015; Модус 6,4, 000000016;</w:t>
            </w:r>
            <w:proofErr w:type="gramEnd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Терманик - 50 без ШУ, 00-000001; Индукционный электронагреватель Терманик - 50 без ШУ, 00-000002; Декоративная перегородка, 000000040; Модус 7,2, 000000041; Модус 7,2, 000000042;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кв.м., 000000049; Стойка ресепшин, 000000050; Индуктивно-кондуктивный электронагреватель "Гейзер-50", 000000063; Ящик распределительный ПР8503-2167 УХЛ 4, 000000066; Лестничное ограждение из нержстали 3-х риг., 000000051; Лестничное ограждение из нерж.стали стекло, 000000052;</w:t>
            </w:r>
            <w:proofErr w:type="gramEnd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Ограждение из нерж.стали 3-х риг., 000000053; Объект внешнего благоустройства (парковка), 000000054; Моноблок Lenovo IdeaCentra A540-24ICB , БП-000013; МФУ Kyocera ECOSYS M6630cidn, БП-000033; Моноблок Acer Aspire C22-820, БП-000005; Ресепшн, БП-000008; Тумбочка, БП-000009; Аппаратно-программный комплекс "Электронный кассир", БП-000010; Моноблок HP Pavilijn 27-xa0085ur 6SQ66EA i5-8400T/8GB/1TB+128GB White, БП-000006; Принтер/Копир/Сканер МФУ Kyoreca ECOSYS M4125idn, БП-000012;</w:t>
            </w:r>
            <w:proofErr w:type="gramEnd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9C0D89"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Моноблок HP 24-f0137ur Core i5-8250U/8GB/512GB SSD/NV/MX110 White, БП-000007; Диван Боттичелли Слик-1 (ТА101, Полнокожное, Кожа цветная, ТА 05); Диван Боттичелли Слик-3 (ТА101 Комбинированное, Кожа цветная ТА05); Диван Климт-2 (20001А, Полнокожное, Кожа цветная); Диван Климт-3 (2001А, Полнокожное, Кожа цветная); Конференц-приставка/белый дуб 1330*800*760; Конференц-приставка/белый дуб 1330*900*780;</w:t>
            </w:r>
            <w:proofErr w:type="gramEnd"/>
          </w:p>
          <w:p w:rsidR="009C0D89" w:rsidRDefault="009C0D89" w:rsidP="0083684C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Кресло офисное DEXP President Black; Кресло руководителя с высокой спинкой, VP300/P001, белая кожа;Кресло руководителя с низкой спинкой,VP300/P001, белая кожа, 8 штук; Массажное кресло, 2 штуки; Рулонная штора Siluet, 5 штук; Стол 2600*2040*760; Стол для заседания 2400*1100*76; Стол для совещаний/белый дуб D1700*760;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Стол журнальный с полкой/белый дуб 1200*600*430, 2 штуки; Стол письменный с экраном/белый дуб 2200*1000*760; Телефон Panasonic IP KX-NT321RU; Шкаф (2638*720*720); Шкаф 3- х секционный; Дистрибутив СПС Консультант Универсал смарт-комплект Оптимальный ОВМ-Ф; Телефон Panasonic IP KX-NT321RU;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Кофемашина Delonghi ECAM 21.117 SB/S серебристый 1450 Вт,15 бар.ручной.1,8л.; IP-телефон Panasonic KX-NT511; Аппарат для переплета пластик; Брифинг (160*70*74,2СПЗ); Гардероб </w:t>
            </w:r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lastRenderedPageBreak/>
              <w:t>(80*42*190 436/1окс); Диван, 15 штук; Диван Парламент, 2 штуки; Доска пеленальная; Жалюзи горизонтальные, 14 штук; Зелень декоративная, 130 штук; Зелень искусственная, 200 штук;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К-т мебели (стол журн., стул, диванчик); Клавиатура + мышь беспроводная DEXP KM-5002BU; Коврик резиновый Ринго-Матт 100х150 см,16мм черный, 18 штук; Коврик резиновый Ринго-Матт 50х100 см,16мм черный, 6 штук; Контейнер для мусора пластмассовый с крышкой на колесах 555*480*937 мм; Лист осока, 50 штук; Лист папоротника, 90 штук;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Мебель Тумба (Приставная 4 ящика 43*56*72 с крышкой 302+303/1); Металлический стеллаж, 2 штуки; Микроволновая печь; Микроволновая печь Redmond RM-2302D черный; Модус 1,5 (урна), 6 штук; Монитор Acer 23.8 HA240YAbi 1920*1080; МФУ НР Color LaserJet Pro; Полка-тумба (80х100х40); Полукресло, 38 штук; Процессор Intel Core i5-8400 2.8/4.0;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Ресепшен приемная; Смартфон HONOR 9 Lite 5/65 Black; Стойка, 30 штук; Стойка ограждения с лентой 3 м, 6 штук; Стойка ограждения ИЫЛ-01506310REO, 6 штук; Стол (Фигурный правый 140*100*74,2 114 окс); Столешница, 32 штуки; Стул, 8 штук; Тумба под оргтехнику, 2 штуки; Флипчарт 70*100см на роликах "Атташе"; Холодильник LIEBHERR; Холодильник SUPRA; Холодильник Мир 244-1; Шкаф (комб.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Aerocool ECO 500 W; АТС цифровая IPLG- Ericsson SBG-1000 + беспроводная системная трубка GDC-450H;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БП АЕХ DEXP DTS-350, 350W (ATX 2.2 120mm FAN 24+4 2xSATA); Клавиатура + мышь беспроводная Logitech; Коммутатор D-Link OGS-1210-28P (Видеонаблюдение 1-я разгрузка); Коммутатор Ethernet Routing Swich ERS-4550-T-PWR; Кондиционер Zanussi ZACM-09 MP; Монитор, 4 штуки; МФУ HP LaserJet Pro MFP M127 fw принтер/сканер/копир/факс; Сервер Hewlett-Packard (HP) Proliant DL 360 G4p 2х3.0 Ггц;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Сервер Hewlett-Packard (HP) Proliant DL 360 G5 2х2.3.0 Ггц; Сервер Hewlett-Packard (HP) Proliant DL 360 G5 2х2.83 Ггц; Сетевой коммутатор RVi-NS0401; Сотовый телефон Itel black; Телефон LG-NORTEL LIP-8024D 48-кнопочная панель; Телефон Panasonic IP KX-NT321RU; Телефон радио Панасоник; USB-разветвитель; Память USB Flash; Телефон Panasonic IP KX-NT321RU; Compact автомойка Karcher бытовая;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Антресоль/ АМ 0891; Бульдозер ручной (малые колеса); Ведро, 9 штук;Вентилятор К3G400-AQ23-01; ВРУ -1 IP54 УХЛ4; Вышка-тура ПСРВ-21-11,09м; Дверь КТП-74 (Центральная вход. группа); Дренажный насос ERGUS Sewage 250F Ci (250Вт. 900 л/ч. фекальный 7м. 10кг чугун); Жалюзи горизонтальные; Завеса тепловая BALLU BHC-H15-T18 (пульт BRC-E); Компрессор; Компрессор FUBAG F1-241/50 CM2 FUB;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Компрессор PATRIOT REMEZA СБ 4/С-100 lb 30A; Кресло офисное DEXP President Black; Ледоруб-ледокол с металлическим черенком; Лестница трасформер 4*3 алюм; Лестница трехсекц. 3*10 VIRA600310 L=6,11м; Лопата снегоуборочная пласт. 430*440 с планкой, 2 штуки; Метла пластиковая Люкс; Набор ключей комбинированных 9 шт.; Набор ключей шестигранников 1,5-10 мм с шаром 9 шт удлиненные;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Набор шестигранников Т-обр руч (1,5-10мм); Насос Wilo TOP-S 50/7, 2 штуки; Насос дренажный LEO; Насос дренажный VORT 401 PW; Насос циркуляционный TOP-S 50/7 DM; Ножницы по металлу 250мм; Ножовка по гипсокартону STAYER, 2 штуки; Отвертка 3-х компонентная, 2 штуки; Отвертка Anti-Slip, 38мм х 5,0 плоск.; Отвертка с 2 компонентной ручкой;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Рубанок РНО 20-82 680Вт; Рукав резиновый для полива, 2 штуки; Рулетка 5м-19 Кобальт; Сварочный инвертор САИ 250 ПН потр ток 35А 10-250А, 1,6-5мм; Снегоуборщик Huter SGC 4800 70/7/2; Строительный фен; Счетчик д/воды СГВ-20 универс.крыльчатый Бетар, 2 штуки; Счетчик эл. эн 1 фаз.; Тачка строительная 90л; Тепловая завеса Olefini верт.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LEN-33V левая 1,2м; Тепловая завеса КЭВ-12П3031Е, 2 штуки; Тепловая завеса КЭВ-12П3042Е, 2 штуки; Тепловая электрическая пушка; Фекальный насос QUATTRO ELEMENTI Sewage Ci; Черенок деревянный д/лопат1,2 м, 3 штуки; Шкаф для ключей; Электрогенератор Fubad BS 3300; Контрольно-пропускной пункт; Ресепсеш; Сейф Т-23; Телевизор LED 32" (81 см) DEXP F32D7200C, 2 штуки;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>Шкаф для ключей; Облучатель-рециркулятор; Огнетушитель ОП-3 АВСЕ, 2 штуки; Огнетушитель ОП-4 (3) АВСЕ черная ручка, 20 штук; Огнетушитель ОП-5 (з) АВСЕ черная ручка, 2 штуки; План эвакуации, 8 штук; Рукав пожарн Д51 20м с головкой ГР-50 и стволом, 3 штуки; Рукав пожарный напорный, 10 штук; СНИГЛАР плнлн стол 72х53; Термометр инфракрасный Эй Энд Ди, 2 штуки;</w:t>
            </w:r>
            <w:proofErr w:type="gramEnd"/>
            <w:r w:rsidRPr="009C0D8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Клавиатура + мышь беспроводная Aceline; Телефон Panasonic IP KX-NT321RU; Автоматизированная система подсчета посетителей MegaCount в составе Видео счетчик с подключением; Брошюратор; Елочка, 2 штуки; Карман акриловый двой для рекламы; Карман информационный А4 вертикальный, 15 штук; Кресло офисное CHAIRMAN; Плакатодержатели, 6 штук; Принтер НР цветной 500 М551н; Ростовая кукла "Пингвин", 2 штуки; Светодиодный дождь 2м*3м LED-Мультиколор, Фиксинг, 6 штук; Кресло офисное DEXP President Black. Всего 24 списочные позиции.</w:t>
            </w:r>
          </w:p>
          <w:p w:rsidR="006C6696" w:rsidRPr="00203190" w:rsidRDefault="009B155A" w:rsidP="009B155A">
            <w:pPr>
              <w:spacing w:line="276" w:lineRule="auto"/>
              <w:rPr>
                <w:rFonts w:ascii="Arial Narrow" w:hAnsi="Arial Narrow" w:cs="Times New Roman CYR"/>
                <w:sz w:val="18"/>
                <w:szCs w:val="18"/>
              </w:rPr>
            </w:pPr>
            <w:r w:rsidRPr="009B155A">
              <w:rPr>
                <w:rFonts w:ascii="Arial Narrow" w:eastAsia="Calibri" w:hAnsi="Arial Narrow"/>
                <w:noProof/>
                <w:sz w:val="20"/>
                <w:szCs w:val="20"/>
              </w:rPr>
              <w:t>Начальная цена продажи лота №1 - 885 857 000 руб. (Восемьсот восемьдесят пять миллионов восемьсот пятьдесят семь тысяч рублей),  НДС не облагается.</w:t>
            </w:r>
            <w:r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Аукцион проводится на электронной площадке</w:t>
            </w:r>
            <w:r w:rsidR="007A536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7A5360" w:rsidRPr="007A5360">
              <w:rPr>
                <w:rFonts w:ascii="Arial Narrow" w:eastAsia="Calibri" w:hAnsi="Arial Narrow"/>
                <w:noProof/>
                <w:sz w:val="20"/>
                <w:szCs w:val="20"/>
              </w:rPr>
              <w:t>АО «Российский аукционный дом»</w:t>
            </w:r>
            <w:r w:rsidR="007A536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(АО «РАД»)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,</w:t>
            </w:r>
            <w:r w:rsidR="007A5360" w:rsidRPr="007A536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адрес в сети интернет https://lot-online.ru/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 Дата и время начала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торгов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: 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16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3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202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2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г. в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09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00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(здесь и далее </w:t>
            </w:r>
            <w:r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по тексту – время московское). 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в форме электронного сообщения, подписанного квалифицированной электронной подписью заявителя. Дата и время приема заявок на участие в торгах: начало 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02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2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202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2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г. в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00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00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окончание 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10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3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202</w:t>
            </w:r>
            <w:r w:rsidR="009C0D89">
              <w:rPr>
                <w:rFonts w:ascii="Arial Narrow" w:eastAsia="Calibri" w:hAnsi="Arial Narrow"/>
                <w:noProof/>
                <w:sz w:val="20"/>
                <w:szCs w:val="20"/>
              </w:rPr>
              <w:t>2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г. в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23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00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Заявка на участие в торгах составляется на русском языке и должна содержать следующие сведения: 1) наименование, организационно-правовую форму, место нахождения, почтовый адрес заявителя (для юридического лица), фамилию, имя, отчество, паспортные данные, сведения о месте жительства заявителя (для физического лица); 2) номер контактного телефона, адрес электронной почты заявителя; 3)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К заявке на участие в торгах в электронной форме должны прилагаться следующие документы: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выписка из единого государственного реестра юридических лиц, полученная в срок не позднее, чем за 30 дней до даты подачи заявки на участие в торгах (для юридического лица), выписка из единого государственного реестра индивидуальных предпринимателей, полученная в срок не позднее, чем за 30 дней до даты подачи заявки</w:t>
            </w:r>
            <w:proofErr w:type="gramEnd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на участие в торгах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lastRenderedPageBreak/>
              <w:t>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документ, подтверждающий полномочия лица на осуществление действий от имени заявителя;</w:t>
            </w:r>
            <w:proofErr w:type="gramEnd"/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решение об одобрении крупной сделки в соответствии с действующим законодательством Российской Федерации;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платежный документ, подтверждающий внесение задатка на участие в торгах.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В целях участия в торгах заявитель должен перечислить задаток в размере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10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% начальной цены продажи лота по следующим реквизитам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специального счета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олучатель: ООО «Комплекс-КА»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ИНН 8602072159, КПП 860201001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с/с 40702810967100026708 в ЗАПАДНО-СИБИРСКОЕ ОТДЕЛЕНИЕ№8647 ПАО СБЕРБАНК, к/с 30101810800000000651 в ОТДЕЛЕНИЕ ТЮМЕНЬ БАНКА РОССИИ,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БИК 047102651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Задаток должен поступить на указанный счет </w:t>
            </w:r>
            <w:r w:rsidR="00AA3901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до окончания срока подачи заявок на участие в торгах 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не позднее даты составления протокола об определении участников торгов.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торгов. Сумма задатка, внесенного победителем торгов, засчитывается в счет исполнения его обязательств по оплате приобретенного имущества.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Шаг аукциона на повышение составляет 5 % от начальной цены лота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Победителем аукциона признается участник торгов, предложивший наиболее высокую цену. Результаты торгов будут подведены в день окончания торгов на 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сайте 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электронной площадк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и и оформляются 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протоколом о результатах проведения торг</w:t>
            </w:r>
            <w:bookmarkStart w:id="0" w:name="_GoBack"/>
            <w:bookmarkEnd w:id="0"/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ов. В течение 5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Победитель торгов перечисляет денежные средства в оплату приобретенного имущества в течение 30 дней со дня подписания договора купли-продажи имущества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</w:t>
            </w:r>
            <w:r>
              <w:rPr>
                <w:rFonts w:ascii="Arial Narrow" w:eastAsia="Calibri" w:hAnsi="Arial Narrow"/>
                <w:noProof/>
                <w:sz w:val="20"/>
                <w:szCs w:val="20"/>
              </w:rPr>
              <w:t>О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плата производится на специальный банковский счет по обеспечению деятельности, связанной с реализацией предмета залога с/с 40702810567100003862 в ЗАПАДНО-СИБИРСКОЕ ОТДЕЛЕНИЕ№8647 ПАО СБЕРБАНК, к/с 30101810800000000651 в ОТДЕЛЕНИЕ ТЮМЕНЬ БАНКА РОССИИ, БИК 047102651, получатель ООО «Комплекс-КА» ИНН: 8602072159, КПП 860201001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CD0FC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С имуществом, являющимся предметом торго</w:t>
            </w:r>
            <w:r w:rsidR="00CD0FC3">
              <w:rPr>
                <w:rFonts w:ascii="Arial Narrow" w:eastAsia="Calibri" w:hAnsi="Arial Narrow"/>
                <w:noProof/>
                <w:sz w:val="20"/>
                <w:szCs w:val="20"/>
              </w:rPr>
              <w:t>в, можно ознакомиться по адресу: ХМАО-Югра, г. Сургут, ул. Профсоюзов, дом 11,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по предварительной записи у организатора торгов.</w:t>
            </w:r>
          </w:p>
        </w:tc>
      </w:tr>
    </w:tbl>
    <w:p w:rsidR="004005D6" w:rsidRDefault="004005D6" w:rsidP="004005D6">
      <w:pPr>
        <w:jc w:val="both"/>
        <w:rPr>
          <w:rFonts w:ascii="Arial Narrow" w:hAnsi="Arial Narrow" w:cs="AGOpus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8"/>
        <w:gridCol w:w="3130"/>
      </w:tblGrid>
      <w:tr w:rsidR="004005D6" w:rsidRPr="00BE092B" w:rsidTr="00986654">
        <w:tc>
          <w:tcPr>
            <w:tcW w:w="5058" w:type="dxa"/>
          </w:tcPr>
          <w:p w:rsidR="00B361AD" w:rsidRDefault="00B361AD" w:rsidP="00986654">
            <w:pPr>
              <w:rPr>
                <w:rFonts w:ascii="Arial Narrow" w:hAnsi="Arial Narrow" w:cs="AGOpus"/>
                <w:noProof/>
                <w:sz w:val="16"/>
                <w:szCs w:val="16"/>
              </w:rPr>
            </w:pPr>
            <w:r>
              <w:rPr>
                <w:rFonts w:ascii="Arial Narrow" w:hAnsi="Arial Narrow" w:cs="AGOpus"/>
                <w:noProof/>
                <w:sz w:val="16"/>
                <w:szCs w:val="16"/>
              </w:rPr>
              <w:t>Организатор торгов</w:t>
            </w:r>
          </w:p>
          <w:p w:rsidR="004005D6" w:rsidRPr="00BE092B" w:rsidRDefault="00554C9E" w:rsidP="00986654">
            <w:pPr>
              <w:rPr>
                <w:rFonts w:ascii="Arial Narrow" w:hAnsi="Arial Narrow" w:cs="AGOpus"/>
                <w:sz w:val="16"/>
                <w:szCs w:val="16"/>
              </w:rPr>
            </w:pPr>
            <w:r>
              <w:rPr>
                <w:rFonts w:ascii="Arial Narrow" w:hAnsi="Arial Narrow" w:cs="AGOpus"/>
                <w:noProof/>
                <w:sz w:val="16"/>
                <w:szCs w:val="16"/>
              </w:rPr>
              <w:t>Конкурсный управляющий</w:t>
            </w:r>
            <w:r w:rsidR="004005D6" w:rsidRPr="00BE092B">
              <w:rPr>
                <w:rFonts w:ascii="Arial Narrow" w:hAnsi="Arial Narrow" w:cs="AGOpus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GOpus"/>
                <w:noProof/>
                <w:sz w:val="16"/>
                <w:szCs w:val="16"/>
              </w:rPr>
              <w:t>ООО "</w:t>
            </w:r>
            <w:r w:rsidR="00203190">
              <w:rPr>
                <w:rFonts w:ascii="Arial Narrow" w:hAnsi="Arial Narrow" w:cs="AGOpus"/>
                <w:noProof/>
                <w:sz w:val="16"/>
                <w:szCs w:val="16"/>
              </w:rPr>
              <w:t>Комплекс-КА</w:t>
            </w:r>
            <w:r>
              <w:rPr>
                <w:rFonts w:ascii="Arial Narrow" w:hAnsi="Arial Narrow" w:cs="AGOpus"/>
                <w:noProof/>
                <w:sz w:val="16"/>
                <w:szCs w:val="16"/>
              </w:rPr>
              <w:t>"</w:t>
            </w:r>
            <w:r w:rsidR="004005D6" w:rsidRPr="00BE092B">
              <w:rPr>
                <w:rFonts w:ascii="Arial Narrow" w:hAnsi="Arial Narrow" w:cs="AGOpus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GOpus"/>
                <w:noProof/>
                <w:sz w:val="16"/>
                <w:szCs w:val="16"/>
              </w:rPr>
              <w:t>Боднар Иван Георгиевич</w:t>
            </w:r>
          </w:p>
        </w:tc>
        <w:tc>
          <w:tcPr>
            <w:tcW w:w="3130" w:type="dxa"/>
            <w:tcBorders>
              <w:bottom w:val="single" w:sz="4" w:space="0" w:color="auto"/>
            </w:tcBorders>
          </w:tcPr>
          <w:p w:rsidR="004005D6" w:rsidRPr="00BE092B" w:rsidRDefault="004005D6" w:rsidP="00986654">
            <w:pPr>
              <w:jc w:val="both"/>
              <w:rPr>
                <w:rFonts w:ascii="Arial Narrow" w:hAnsi="Arial Narrow" w:cs="AGOpus"/>
                <w:b/>
                <w:sz w:val="16"/>
                <w:szCs w:val="16"/>
              </w:rPr>
            </w:pPr>
          </w:p>
        </w:tc>
      </w:tr>
      <w:tr w:rsidR="004005D6" w:rsidRPr="00BE092B" w:rsidTr="00986654">
        <w:tc>
          <w:tcPr>
            <w:tcW w:w="5058" w:type="dxa"/>
          </w:tcPr>
          <w:p w:rsidR="004005D6" w:rsidRPr="00BE092B" w:rsidRDefault="004005D6" w:rsidP="00986654">
            <w:pPr>
              <w:rPr>
                <w:rFonts w:ascii="Arial Narrow" w:hAnsi="Arial Narrow" w:cs="AGOpus"/>
                <w:b/>
                <w:sz w:val="16"/>
                <w:szCs w:val="16"/>
              </w:rPr>
            </w:pPr>
            <w:r w:rsidRPr="00BE092B">
              <w:rPr>
                <w:rFonts w:ascii="Arial Narrow" w:hAnsi="Arial Narrow" w:cs="AGOpus"/>
                <w:sz w:val="16"/>
                <w:szCs w:val="16"/>
              </w:rPr>
              <w:t>ФИО, должность</w:t>
            </w:r>
          </w:p>
        </w:tc>
        <w:tc>
          <w:tcPr>
            <w:tcW w:w="3130" w:type="dxa"/>
            <w:tcBorders>
              <w:top w:val="single" w:sz="4" w:space="0" w:color="auto"/>
            </w:tcBorders>
          </w:tcPr>
          <w:p w:rsidR="004005D6" w:rsidRPr="00BE092B" w:rsidRDefault="004005D6" w:rsidP="00986654">
            <w:pPr>
              <w:rPr>
                <w:rFonts w:ascii="Arial Narrow" w:hAnsi="Arial Narrow" w:cs="AGOpus"/>
                <w:sz w:val="16"/>
                <w:szCs w:val="16"/>
              </w:rPr>
            </w:pPr>
            <w:r w:rsidRPr="00BE092B">
              <w:rPr>
                <w:rFonts w:ascii="Arial Narrow" w:hAnsi="Arial Narrow" w:cs="AGOpus"/>
                <w:sz w:val="16"/>
                <w:szCs w:val="16"/>
              </w:rPr>
              <w:t>подпись</w:t>
            </w:r>
          </w:p>
        </w:tc>
      </w:tr>
      <w:tr w:rsidR="004005D6" w:rsidRPr="00BE092B" w:rsidTr="00986654">
        <w:tc>
          <w:tcPr>
            <w:tcW w:w="5058" w:type="dxa"/>
          </w:tcPr>
          <w:p w:rsidR="004005D6" w:rsidRPr="00BE092B" w:rsidRDefault="004005D6" w:rsidP="00986654">
            <w:pPr>
              <w:rPr>
                <w:rFonts w:ascii="Arial Narrow" w:hAnsi="Arial Narrow" w:cs="AGOpus"/>
                <w:sz w:val="16"/>
                <w:szCs w:val="16"/>
              </w:rPr>
            </w:pPr>
          </w:p>
        </w:tc>
        <w:tc>
          <w:tcPr>
            <w:tcW w:w="3130" w:type="dxa"/>
          </w:tcPr>
          <w:p w:rsidR="004005D6" w:rsidRPr="00BE092B" w:rsidRDefault="004005D6" w:rsidP="00986654">
            <w:pPr>
              <w:rPr>
                <w:rFonts w:ascii="Arial Narrow" w:hAnsi="Arial Narrow" w:cs="AGOpus"/>
                <w:sz w:val="16"/>
                <w:szCs w:val="16"/>
              </w:rPr>
            </w:pPr>
          </w:p>
          <w:p w:rsidR="004005D6" w:rsidRPr="00BE092B" w:rsidRDefault="004005D6" w:rsidP="00986654">
            <w:pPr>
              <w:rPr>
                <w:rFonts w:ascii="Arial Narrow" w:hAnsi="Arial Narrow" w:cs="AGOpus"/>
                <w:sz w:val="16"/>
                <w:szCs w:val="16"/>
              </w:rPr>
            </w:pPr>
            <w:r w:rsidRPr="00BE092B">
              <w:rPr>
                <w:rFonts w:ascii="Arial Narrow" w:hAnsi="Arial Narrow" w:cs="AGOpus"/>
                <w:sz w:val="16"/>
                <w:szCs w:val="16"/>
              </w:rPr>
              <w:t>М.П.</w:t>
            </w:r>
          </w:p>
        </w:tc>
      </w:tr>
    </w:tbl>
    <w:p w:rsidR="004005D6" w:rsidRPr="00530B4D" w:rsidRDefault="004005D6" w:rsidP="004005D6">
      <w:pPr>
        <w:spacing w:line="276" w:lineRule="auto"/>
        <w:rPr>
          <w:rFonts w:ascii="Arial Narrow" w:eastAsia="Calibri" w:hAnsi="Arial Narrow"/>
          <w:sz w:val="16"/>
          <w:szCs w:val="16"/>
        </w:rPr>
      </w:pPr>
    </w:p>
    <w:sectPr w:rsidR="004005D6" w:rsidRPr="00530B4D" w:rsidSect="004E7A93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807" w:rsidRDefault="00471807">
      <w:r>
        <w:separator/>
      </w:r>
    </w:p>
  </w:endnote>
  <w:endnote w:type="continuationSeparator" w:id="0">
    <w:p w:rsidR="00471807" w:rsidRDefault="0047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807" w:rsidRDefault="00471807">
      <w:r>
        <w:separator/>
      </w:r>
    </w:p>
  </w:footnote>
  <w:footnote w:type="continuationSeparator" w:id="0">
    <w:p w:rsidR="00471807" w:rsidRDefault="0047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B7"/>
    <w:rsid w:val="00002D69"/>
    <w:rsid w:val="00043748"/>
    <w:rsid w:val="0005045B"/>
    <w:rsid w:val="000A2C8B"/>
    <w:rsid w:val="000C0CDE"/>
    <w:rsid w:val="00144C09"/>
    <w:rsid w:val="00162F4F"/>
    <w:rsid w:val="001B5E12"/>
    <w:rsid w:val="001E2C7D"/>
    <w:rsid w:val="001E5BF9"/>
    <w:rsid w:val="001F66CD"/>
    <w:rsid w:val="00203190"/>
    <w:rsid w:val="00224BE4"/>
    <w:rsid w:val="0022529A"/>
    <w:rsid w:val="002553B9"/>
    <w:rsid w:val="002F3B47"/>
    <w:rsid w:val="003203CE"/>
    <w:rsid w:val="00334CE0"/>
    <w:rsid w:val="003454F1"/>
    <w:rsid w:val="00372900"/>
    <w:rsid w:val="00387D01"/>
    <w:rsid w:val="003A1E73"/>
    <w:rsid w:val="004005D6"/>
    <w:rsid w:val="004460CE"/>
    <w:rsid w:val="00471807"/>
    <w:rsid w:val="004C7FCE"/>
    <w:rsid w:val="004D7D97"/>
    <w:rsid w:val="004E7A93"/>
    <w:rsid w:val="00554C9E"/>
    <w:rsid w:val="005C028C"/>
    <w:rsid w:val="00611880"/>
    <w:rsid w:val="00613A77"/>
    <w:rsid w:val="006427F3"/>
    <w:rsid w:val="006442D3"/>
    <w:rsid w:val="006551C2"/>
    <w:rsid w:val="00661ED4"/>
    <w:rsid w:val="00672726"/>
    <w:rsid w:val="0068527C"/>
    <w:rsid w:val="006C6696"/>
    <w:rsid w:val="006E1AAC"/>
    <w:rsid w:val="006E2399"/>
    <w:rsid w:val="00703E60"/>
    <w:rsid w:val="007A0814"/>
    <w:rsid w:val="007A5360"/>
    <w:rsid w:val="0083684C"/>
    <w:rsid w:val="00883744"/>
    <w:rsid w:val="008B7595"/>
    <w:rsid w:val="008E114A"/>
    <w:rsid w:val="00982EBF"/>
    <w:rsid w:val="00986654"/>
    <w:rsid w:val="009B155A"/>
    <w:rsid w:val="009C0D89"/>
    <w:rsid w:val="00A55F42"/>
    <w:rsid w:val="00A83F0E"/>
    <w:rsid w:val="00AA3901"/>
    <w:rsid w:val="00AB1968"/>
    <w:rsid w:val="00B265C3"/>
    <w:rsid w:val="00B361AD"/>
    <w:rsid w:val="00B7027B"/>
    <w:rsid w:val="00BD3527"/>
    <w:rsid w:val="00BE006D"/>
    <w:rsid w:val="00BF4887"/>
    <w:rsid w:val="00C26981"/>
    <w:rsid w:val="00C504F6"/>
    <w:rsid w:val="00C7335C"/>
    <w:rsid w:val="00C90CA7"/>
    <w:rsid w:val="00CA6DB7"/>
    <w:rsid w:val="00CD0FC3"/>
    <w:rsid w:val="00D131A4"/>
    <w:rsid w:val="00D61167"/>
    <w:rsid w:val="00D910D5"/>
    <w:rsid w:val="00DA6969"/>
    <w:rsid w:val="00DC005B"/>
    <w:rsid w:val="00E13BD9"/>
    <w:rsid w:val="00E84127"/>
    <w:rsid w:val="00F04083"/>
    <w:rsid w:val="00F4257B"/>
    <w:rsid w:val="00F46995"/>
    <w:rsid w:val="00F46A19"/>
    <w:rsid w:val="00F66699"/>
    <w:rsid w:val="00F9538D"/>
    <w:rsid w:val="00FB2ADA"/>
    <w:rsid w:val="00F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B7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A6D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045B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5045B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B7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A6D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045B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5045B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2490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12</cp:revision>
  <dcterms:created xsi:type="dcterms:W3CDTF">2021-07-15T10:04:00Z</dcterms:created>
  <dcterms:modified xsi:type="dcterms:W3CDTF">2022-01-17T11:00:00Z</dcterms:modified>
</cp:coreProperties>
</file>