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028" w:rsidRDefault="00E9558D"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Лот №1. Склад ГСМ, литер «V», общим объёмом 5800 куб. м.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2004, кадастровый номер 39:03:010004:37; Операторская литер «М» общей площадью 14,8 кв. м.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2004, кадастровый номер 39:03:010004:36; Складское здание литер «К» общей площадью 127,9 кв. м.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2004, кадастровый номер 39:03:010004:31; Складское здание литер «Е» общей площадью 392,8 кв. </w:t>
      </w:r>
      <w:proofErr w:type="spellStart"/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м.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од</w:t>
      </w:r>
      <w:proofErr w:type="spellEnd"/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 изготовления: 2004, кадастровый номер 39:03:010004:32;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т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рансформаторная подстанция, литер «В» общей площадью 30,9 кв. м.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2005, кадастровый номер 39:03:010004:35;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н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асосная станция со сливной эстакадой, литер «VI»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2004, кадастровый номер 39:03:010004:49;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в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строенное нежилое помещение литер «II» из литера «Д» общей площадью 111,7 кв. м.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од изготовления: 2005, кадастровый номер 39:03:010004:53;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з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дание котельной литер «Д1» общей площадью 123,4 кв. м.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г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од изготовления: 2004, кадастровый номер 39:03:010004:33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п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одъездной железнодорожный путь /литер «IV»/ от стыка рамочного рельса стрелочного перевода №9 станции Гурьевск-Новый до упора с заездом на пути 1-2, через стрелку 1-3 длиной 1384 п. м. Год изготовления: 2004, кадастровый номер 39:03:010004:56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, н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ежилое здание (котельная) Инвентарный номер: 2-6107 Литер С, кадастровый номер 39:03:010004:40;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 н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ежилое здание (дизель-генераторная с пожарной насосной) Литер Т, кадастровый номер 39:03:010004:43;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н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ежилое здание (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п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ункт управления операторская) Инвентарный номер: 2-6107 Литер У, кадастровый номер 39:03:010004:42;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м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алотоннажная установка ЭЛОУ АТ-100;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и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нвентарный номер 3-6107 Литер VIII, кадастровый номер 39:03:010004:41; Склад ГСМ общим объемом 5100 куб. м. Инвентарный номер 3-6107 Литер II, кадастровый номер 39:03:010004:44; Очистные сооружения Инвентарный номер 3-6107 Литер VII, кадастровый номер 39:03:010004:39;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з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емельный участок, расположенный по адресу: Калининградская область, г. Гурьевск, ул. Гранитная, д.12, кадастровый номер 39:03:010004:88; Земельный участок, расположенный по адресу: Калининградская область, г. Гурьевск, ул. Гранитная, д.12, кадастровый номер 39:03:010004:89; 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>а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втоматическая система налива АСН-2В ДУ=80мм, год изготовления 2006г., 1 шт.; Автоматическая система налива АСН-2В 1, год изготовления 2006г., 1 шт.;</w:t>
      </w:r>
      <w:r>
        <w:rPr>
          <w:rFonts w:ascii="Times New Roman" w:hAnsi="Times New Roman"/>
          <w:bCs/>
          <w:sz w:val="18"/>
          <w:szCs w:val="21"/>
          <w:shd w:val="clear" w:color="auto" w:fill="FFFFFF"/>
        </w:rPr>
        <w:t xml:space="preserve"> </w:t>
      </w:r>
      <w:r w:rsidRPr="002F1ED0">
        <w:rPr>
          <w:rFonts w:ascii="Times New Roman" w:hAnsi="Times New Roman"/>
          <w:bCs/>
          <w:sz w:val="18"/>
          <w:szCs w:val="21"/>
          <w:shd w:val="clear" w:color="auto" w:fill="FFFFFF"/>
        </w:rPr>
        <w:t>Автоматическая система налива АСН-2В 1, год изготовления 2006г., 1 шт.; Автоматическая система налива АСН-5ВГ (1ГУ) У2ДУ=80мм, год изготовления 2006г., 1 шт.; Автоматическая система налива АСН-5ВГ (1ГУ) У2ДУ=80мм, год изготовления 2006г., 1 шт.; дебиторская задолженность ООО «Формула» (ИНН 3906262138) перед ЗАО «Деметра» по договору о финансовой аренде (лизинге) № 57-1/09 от 10.07.2009г., договору о финансовой аренде (лизинге) № 57-2/09 от 10.07.2009г., договору купли-продажи земельного участка №КП 57-1-1/09 от 10.07.2009, образовавшаяся за период с даты заключения указанных договоров по 01.11.2019 включительно, в размере 459070605,65 руб.</w:t>
      </w:r>
      <w:bookmarkStart w:id="0" w:name="_GoBack"/>
      <w:bookmarkEnd w:id="0"/>
    </w:p>
    <w:sectPr w:rsidR="0072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8D"/>
    <w:rsid w:val="00724028"/>
    <w:rsid w:val="00E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F8F8D-C17A-4665-86AF-C78F7D71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Пестряков</dc:creator>
  <cp:keywords/>
  <dc:description/>
  <cp:lastModifiedBy>Кирилл Пестряков</cp:lastModifiedBy>
  <cp:revision>1</cp:revision>
  <dcterms:created xsi:type="dcterms:W3CDTF">2019-11-22T15:31:00Z</dcterms:created>
  <dcterms:modified xsi:type="dcterms:W3CDTF">2019-11-22T15:31:00Z</dcterms:modified>
</cp:coreProperties>
</file>