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ind w:firstLine="540"/>
        <w:jc w:val="both"/>
        <w:outlineLvl w:val="1"/>
        <w:rPr>
          <w:rFonts w:ascii="Arial" w:hAnsi="Arial" w:cs="Times New Roman"/>
          <w:sz w:val="24"/>
          <w:szCs w:val="24"/>
        </w:rPr>
      </w:pPr>
      <w:r>
        <w:rPr>
          <w:rFonts w:cs="Times New Roman" w:ascii="Arial" w:hAnsi="Arial"/>
          <w:sz w:val="24"/>
          <w:szCs w:val="24"/>
        </w:rPr>
      </w:r>
    </w:p>
    <w:p>
      <w:pPr>
        <w:pStyle w:val="Normal"/>
        <w:ind w:firstLine="290"/>
        <w:jc w:val="center"/>
        <w:rPr>
          <w:sz w:val="28"/>
          <w:szCs w:val="28"/>
        </w:rPr>
      </w:pPr>
      <w:r>
        <w:rPr>
          <w:rFonts w:ascii="Arial" w:hAnsi="Arial"/>
          <w:sz w:val="24"/>
          <w:szCs w:val="24"/>
        </w:rPr>
        <w:t>Сообщение о проведении торгов № 84845</w:t>
      </w:r>
    </w:p>
    <w:p>
      <w:pPr>
        <w:pStyle w:val="ConsPlusNormal"/>
        <w:numPr>
          <w:ilvl w:val="0"/>
          <w:numId w:val="0"/>
        </w:numPr>
        <w:ind w:firstLine="540"/>
        <w:jc w:val="center"/>
        <w:outlineLvl w:val="1"/>
        <w:rPr>
          <w:rFonts w:ascii="Times New Roman" w:hAnsi="Times New Roman" w:cs="Times New Roman"/>
          <w:sz w:val="28"/>
          <w:szCs w:val="28"/>
        </w:rPr>
      </w:pPr>
      <w:r>
        <w:rPr>
          <w:rFonts w:cs="Times New Roman" w:ascii="Arial" w:hAnsi="Arial"/>
          <w:sz w:val="24"/>
          <w:szCs w:val="24"/>
        </w:rPr>
        <w:t>Дата проведения торгов: 08.05.2019 10:00</w:t>
      </w:r>
    </w:p>
    <w:p>
      <w:pPr>
        <w:pStyle w:val="ConsPlusNormal"/>
        <w:numPr>
          <w:ilvl w:val="0"/>
          <w:numId w:val="0"/>
        </w:numPr>
        <w:ind w:firstLine="540"/>
        <w:jc w:val="center"/>
        <w:outlineLvl w:val="1"/>
        <w:rPr>
          <w:rFonts w:ascii="Arial" w:hAnsi="Arial" w:cs="Times New Roman"/>
          <w:sz w:val="24"/>
          <w:szCs w:val="24"/>
        </w:rPr>
      </w:pPr>
      <w:r>
        <w:rPr>
          <w:rFonts w:cs="Times New Roman" w:ascii="Arial" w:hAnsi="Arial"/>
          <w:sz w:val="24"/>
          <w:szCs w:val="24"/>
        </w:rPr>
      </w:r>
    </w:p>
    <w:p>
      <w:pPr>
        <w:pStyle w:val="ConsPlusNormal"/>
        <w:numPr>
          <w:ilvl w:val="0"/>
          <w:numId w:val="0"/>
        </w:numPr>
        <w:ind w:firstLine="540"/>
        <w:jc w:val="center"/>
        <w:outlineLvl w:val="1"/>
        <w:rPr>
          <w:rFonts w:ascii="Arial" w:hAnsi="Arial" w:cs="Times New Roman"/>
          <w:sz w:val="24"/>
          <w:szCs w:val="24"/>
        </w:rPr>
      </w:pPr>
      <w:r>
        <w:rPr>
          <w:rFonts w:cs="Times New Roman" w:ascii="Arial" w:hAnsi="Arial"/>
          <w:sz w:val="24"/>
          <w:szCs w:val="24"/>
        </w:rPr>
      </w:r>
    </w:p>
    <w:tbl>
      <w:tblPr>
        <w:tblW w:w="10189" w:type="dxa"/>
        <w:jc w:val="left"/>
        <w:tblInd w:w="-54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5076"/>
        <w:gridCol w:w="5113"/>
      </w:tblGrid>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hanging="0"/>
              <w:jc w:val="both"/>
              <w:rPr>
                <w:rFonts w:ascii="Arial" w:hAnsi="Arial"/>
                <w:sz w:val="24"/>
                <w:szCs w:val="24"/>
              </w:rPr>
            </w:pPr>
            <w:r>
              <w:rPr>
                <w:rFonts w:ascii="Arial" w:hAnsi="Arial"/>
                <w:sz w:val="24"/>
                <w:szCs w:val="24"/>
                <w:lang w:val="en-US"/>
              </w:rPr>
              <w:t>Морозов Владимир Степанович, ИНН 100101648866.</w:t>
            </w:r>
          </w:p>
          <w:p>
            <w:pPr>
              <w:pStyle w:val="ConsPlusNormal"/>
              <w:numPr>
                <w:ilvl w:val="0"/>
                <w:numId w:val="0"/>
              </w:numPr>
              <w:ind w:firstLine="290"/>
              <w:jc w:val="both"/>
              <w:outlineLvl w:val="1"/>
              <w:rPr>
                <w:rFonts w:ascii="Arial" w:hAnsi="Arial" w:cs="Times New Roman"/>
                <w:color w:val="000000"/>
                <w:sz w:val="24"/>
                <w:szCs w:val="24"/>
                <w:lang w:val="en-US"/>
              </w:rPr>
            </w:pPr>
            <w:r>
              <w:rPr>
                <w:rFonts w:cs="Times New Roman" w:ascii="Arial" w:hAnsi="Arial"/>
                <w:color w:val="000000"/>
                <w:sz w:val="24"/>
                <w:szCs w:val="24"/>
                <w:lang w:val="en-US"/>
              </w:rPr>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sz w:val="24"/>
                <w:szCs w:val="24"/>
              </w:rPr>
            </w:pPr>
            <w:r>
              <w:rPr>
                <w:rFonts w:cs="Times New Roman" w:ascii="Arial" w:hAnsi="Arial"/>
                <w:sz w:val="24"/>
                <w:szCs w:val="24"/>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p>
          <w:p>
            <w:pPr>
              <w:pStyle w:val="ConsPlusNormal"/>
              <w:numPr>
                <w:ilvl w:val="0"/>
                <w:numId w:val="0"/>
              </w:numPr>
              <w:ind w:firstLine="290"/>
              <w:jc w:val="both"/>
              <w:outlineLvl w:val="1"/>
              <w:rPr>
                <w:rFonts w:ascii="Times New Roman" w:hAnsi="Times New Roman" w:cs="Times New Roman"/>
                <w:sz w:val="28"/>
                <w:szCs w:val="28"/>
              </w:rPr>
            </w:pPr>
            <w:r>
              <w:rPr>
                <w:rFonts w:cs="Times New Roman" w:ascii="Arial" w:hAnsi="Arial"/>
                <w:sz w:val="24"/>
                <w:szCs w:val="24"/>
              </w:rPr>
              <w:t>полное наименование конкурсного управляющего, краткое наименование конкурсного управляющего, ОГРН конкурсного управляющего (для процедур в отношении несостоятельных банков);</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ind w:hanging="0"/>
              <w:jc w:val="both"/>
              <w:outlineLvl w:val="1"/>
              <w:rPr>
                <w:rFonts w:ascii="Arial" w:hAnsi="Arial" w:cs="Times New Roman"/>
                <w:color w:val="000000"/>
                <w:sz w:val="24"/>
                <w:szCs w:val="24"/>
                <w:lang w:val="en-US"/>
              </w:rPr>
            </w:pPr>
            <w:r>
              <w:rPr>
                <w:rFonts w:cs="Times New Roman" w:ascii="Arial" w:hAnsi="Arial"/>
                <w:color w:val="000000"/>
                <w:sz w:val="24"/>
                <w:szCs w:val="24"/>
                <w:lang w:val="en-US"/>
              </w:rPr>
              <w:t>Бойцев Александр Геннадьевич</w:t>
            </w:r>
          </w:p>
          <w:p>
            <w:pPr>
              <w:pStyle w:val="ConsPlusNormal"/>
              <w:numPr>
                <w:ilvl w:val="0"/>
                <w:numId w:val="0"/>
              </w:numPr>
              <w:ind w:hanging="0"/>
              <w:jc w:val="both"/>
              <w:outlineLvl w:val="1"/>
              <w:rPr>
                <w:rFonts w:ascii="Arial" w:hAnsi="Arial" w:cs="Times New Roman"/>
                <w:color w:val="000000"/>
                <w:sz w:val="24"/>
                <w:szCs w:val="24"/>
                <w:lang w:val="en-US"/>
              </w:rPr>
            </w:pPr>
            <w:r>
              <w:rPr>
                <w:rFonts w:cs="Times New Roman" w:ascii="Arial" w:hAnsi="Arial"/>
                <w:color w:val="000000"/>
                <w:sz w:val="24"/>
                <w:szCs w:val="24"/>
                <w:lang w:val="ru-RU"/>
              </w:rPr>
              <w:t>Союз</w:t>
            </w:r>
            <w:r>
              <w:rPr>
                <w:rFonts w:cs="Times New Roman" w:ascii="Arial" w:hAnsi="Arial"/>
                <w:color w:val="000000"/>
                <w:sz w:val="24"/>
                <w:szCs w:val="24"/>
                <w:lang w:val="en-US"/>
              </w:rPr>
              <w:t xml:space="preserve"> “МЦАУ" (</w:t>
            </w:r>
            <w:r>
              <w:rPr>
                <w:rFonts w:cs="Times New Roman" w:ascii="Arial" w:hAnsi="Arial"/>
                <w:color w:val="000000"/>
                <w:sz w:val="24"/>
                <w:szCs w:val="24"/>
                <w:lang w:val="ru-RU"/>
              </w:rPr>
              <w:t>Союз</w:t>
            </w:r>
            <w:r>
              <w:rPr>
                <w:rFonts w:cs="Times New Roman" w:ascii="Arial" w:hAnsi="Arial"/>
                <w:color w:val="000000"/>
                <w:sz w:val="24"/>
                <w:szCs w:val="24"/>
                <w:lang w:val="en-US"/>
              </w:rPr>
              <w:t xml:space="preserve"> "Межрегиональный центр арбитражных управляющих")</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в) наименование арбитражного суда, рассматривающего дело о банкротстве, номер дела о банкротстве;</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hanging="0"/>
              <w:jc w:val="both"/>
              <w:rPr>
                <w:rFonts w:ascii="Arial" w:hAnsi="Arial"/>
                <w:sz w:val="24"/>
                <w:szCs w:val="24"/>
              </w:rPr>
            </w:pPr>
            <w:r>
              <w:rPr>
                <w:rFonts w:ascii="Arial" w:hAnsi="Arial"/>
                <w:sz w:val="24"/>
                <w:szCs w:val="24"/>
                <w:lang w:val="en-US"/>
              </w:rPr>
              <w:t>Арбитражный суд Республики Карелия, дело о банкротстве А26-9725/2017</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г) основание для проведения открытых торгов (реквизиты судебного акта арбитражного суда);</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ind w:hanging="0"/>
              <w:jc w:val="both"/>
              <w:outlineLvl w:val="1"/>
              <w:rPr>
                <w:rFonts w:ascii="Arial" w:hAnsi="Arial"/>
                <w:sz w:val="24"/>
                <w:szCs w:val="24"/>
              </w:rPr>
            </w:pPr>
            <w:r>
              <w:rPr>
                <w:rFonts w:cs="Times New Roman" w:ascii="Arial" w:hAnsi="Arial"/>
                <w:color w:val="000000"/>
                <w:sz w:val="24"/>
                <w:szCs w:val="24"/>
                <w:lang w:val="en-US"/>
              </w:rPr>
              <w:t>Арбитражный суд Республики Карелия Решение от 13.09.2018 г.</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ind w:hanging="0"/>
              <w:jc w:val="both"/>
              <w:outlineLvl w:val="1"/>
              <w:rPr>
                <w:rFonts w:ascii="Arial" w:hAnsi="Arial" w:cs="Times New Roman"/>
                <w:color w:val="000000"/>
                <w:sz w:val="24"/>
                <w:szCs w:val="24"/>
              </w:rPr>
            </w:pPr>
            <w:r>
              <w:rPr>
                <w:rFonts w:cs="Times New Roman" w:ascii="Arial" w:hAnsi="Arial"/>
                <w:color w:val="000000"/>
                <w:sz w:val="24"/>
                <w:szCs w:val="24"/>
              </w:rPr>
              <w:t>Лот 1: - Встроенные нежилые помещения общей площадью 275 кв.м., расположенные на первом этаже одноэтажного кирпичного здания комбината. Номера на поэтажном плане 1-35, адрес объекта: Республика Карелия, г. Петрозаводск, ул. Жуковского, д.12-а, кадастровый (или условный номер): 10:01:0200127:839 (без учета земельного участка) - Объект недвижимости  нежилое помещение, общей площадью 29,3 кв.м., номера на поэтажном плане: подвал №4-6, адрес объекта: Республика Карелия, г. Петрозаводск, ул. Жуковского, д.12-а, кадастровый (или условный номер): 10:01:0200127:872 (без учета земельного участка) - Право аренды земельного участка сроком на 10 лет (по 15.02.2021 г.), на котором находится закладываемый объект недвижимости, категория земель: земли населенных пунктов, общей площадью 1280 кв.м., адрес объекта: Республика Карелия, г. Петрозаводск, ул. Жуковского, д.12-а; кадастровый номер: 10:01:0200127:12.</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е) сведения о форме проведения открытых торгов и форме представления предложений о цене имущества (предприятия) должника;</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ind w:hanging="0"/>
              <w:jc w:val="both"/>
              <w:outlineLvl w:val="1"/>
              <w:rPr>
                <w:rFonts w:ascii="Arial" w:hAnsi="Arial" w:cs="Times New Roman"/>
                <w:color w:val="000000"/>
                <w:sz w:val="24"/>
                <w:szCs w:val="24"/>
              </w:rPr>
            </w:pPr>
            <w:r>
              <w:rPr>
                <w:rFonts w:cs="Times New Roman" w:ascii="Arial" w:hAnsi="Arial"/>
                <w:color w:val="000000"/>
                <w:sz w:val="24"/>
                <w:szCs w:val="24"/>
              </w:rPr>
              <w:t>Аукцион с открытой формой подачи предложений</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 xml:space="preserve">ж) условия конкурса в случае проведения открытых торгов в форме конкурса; </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snapToGrid w:val="false"/>
              <w:ind w:firstLine="290"/>
              <w:jc w:val="both"/>
              <w:outlineLvl w:val="1"/>
              <w:rPr>
                <w:rFonts w:ascii="Arial" w:hAnsi="Arial" w:cs="Times New Roman"/>
                <w:color w:val="000000"/>
                <w:sz w:val="24"/>
                <w:szCs w:val="24"/>
              </w:rPr>
            </w:pPr>
            <w:r>
              <w:rPr>
                <w:rFonts w:cs="Times New Roman" w:ascii="Arial" w:hAnsi="Arial"/>
                <w:color w:val="000000"/>
                <w:sz w:val="24"/>
                <w:szCs w:val="24"/>
              </w:rPr>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hanging="0"/>
              <w:jc w:val="both"/>
              <w:rPr>
                <w:rFonts w:ascii="Arial" w:hAnsi="Arial"/>
                <w:sz w:val="24"/>
                <w:szCs w:val="24"/>
              </w:rPr>
            </w:pPr>
            <w:r>
              <w:rPr>
                <w:rFonts w:ascii="Arial" w:hAnsi="Arial"/>
                <w:sz w:val="24"/>
                <w:szCs w:val="24"/>
              </w:rPr>
              <w:t>Прием заявок на участие в торгах осуществляется по адресу: http://lot-online.ru  с 21.03.2019 г. и заканчивается 25.04.2019 г. в 17:00 (время московское).</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и) порядок оформления участия в торгах, перечень представляемых участниками торгов документов и требования к их оформлению;</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autoSpaceDE w:val="false"/>
              <w:ind w:hanging="0"/>
              <w:jc w:val="both"/>
              <w:outlineLvl w:val="0"/>
              <w:rPr>
                <w:rFonts w:ascii="Arial" w:hAnsi="Arial"/>
                <w:sz w:val="24"/>
                <w:szCs w:val="24"/>
              </w:rPr>
            </w:pPr>
            <w:r>
              <w:rPr>
                <w:rFonts w:ascii="Arial" w:hAnsi="Arial"/>
                <w:bCs/>
                <w:sz w:val="24"/>
                <w:szCs w:val="24"/>
              </w:rPr>
              <w:t>Заявка на участие в торгах должна соответствовать требованиям, установленным Федеральным законом от 26.10.2002 года № 127-ФЗ "О несостоятельности (банкротстве)", оформляется в форме электронного документа на сайте оператора ЭТП, подписывается электронной цифровой подписью заявителя (как и документы, прилагаемые к заявке в форме электронных документов). Прием заявок на участие в торгах и предложений о цене имущества осуществляется в соответствии с Регламентом оператора ЭТП. Заявка на участие в торгах составляется в произвольной форме на русском языке и должна содержать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а также саморегулируемой организации арбитражных управляющих, членом или руководителем которой является финансовый управляющий. 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w:t>
            </w:r>
            <w:r>
              <w:rPr>
                <w:rFonts w:ascii="Arial" w:hAnsi="Arial"/>
                <w:sz w:val="24"/>
                <w:szCs w:val="24"/>
              </w:rPr>
              <w:t xml:space="preserve"> </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к) размер задатка, сроки и порядок внесения и возврата задатка, реквизиты счетов, на которые вносится задаток;</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ind w:hanging="0"/>
              <w:jc w:val="both"/>
              <w:outlineLvl w:val="1"/>
              <w:rPr>
                <w:rFonts w:ascii="Arial" w:hAnsi="Arial" w:cs="Times New Roman"/>
                <w:bCs/>
                <w:color w:val="000000"/>
                <w:sz w:val="24"/>
                <w:szCs w:val="24"/>
              </w:rPr>
            </w:pPr>
            <w:r>
              <w:rPr>
                <w:rFonts w:cs="Times New Roman" w:ascii="Arial" w:hAnsi="Arial"/>
                <w:bCs/>
                <w:color w:val="000000"/>
                <w:sz w:val="24"/>
                <w:szCs w:val="24"/>
              </w:rPr>
              <w:t xml:space="preserve">Сумма задатка на каждый из лотов: </w:t>
            </w:r>
          </w:p>
          <w:p>
            <w:pPr>
              <w:pStyle w:val="ConsPlusNormal"/>
              <w:numPr>
                <w:ilvl w:val="0"/>
                <w:numId w:val="0"/>
              </w:numPr>
              <w:ind w:hanging="0"/>
              <w:jc w:val="both"/>
              <w:outlineLvl w:val="1"/>
              <w:rPr>
                <w:rFonts w:ascii="Arial" w:hAnsi="Arial" w:cs="Times New Roman"/>
                <w:bCs/>
                <w:color w:val="000000"/>
                <w:sz w:val="24"/>
                <w:szCs w:val="24"/>
              </w:rPr>
            </w:pPr>
            <w:r>
              <w:rPr>
                <w:rFonts w:cs="Times New Roman" w:ascii="Arial" w:hAnsi="Arial"/>
                <w:bCs/>
                <w:color w:val="000000"/>
                <w:sz w:val="24"/>
                <w:szCs w:val="24"/>
              </w:rPr>
              <w:t>Лот 1: 980 000.00 руб.</w:t>
            </w:r>
          </w:p>
          <w:p>
            <w:pPr>
              <w:pStyle w:val="ConsPlusNormal"/>
              <w:numPr>
                <w:ilvl w:val="0"/>
                <w:numId w:val="0"/>
              </w:numPr>
              <w:ind w:firstLine="290"/>
              <w:jc w:val="both"/>
              <w:outlineLvl w:val="1"/>
              <w:rPr>
                <w:rFonts w:ascii="Arial" w:hAnsi="Arial" w:cs="Times New Roman"/>
                <w:bCs/>
                <w:color w:val="000000"/>
                <w:sz w:val="24"/>
                <w:szCs w:val="24"/>
              </w:rPr>
            </w:pPr>
            <w:r>
              <w:rPr>
                <w:rFonts w:cs="Times New Roman" w:ascii="Arial" w:hAnsi="Arial"/>
                <w:bCs/>
                <w:color w:val="000000"/>
                <w:sz w:val="24"/>
                <w:szCs w:val="24"/>
              </w:rPr>
            </w:r>
          </w:p>
          <w:p>
            <w:pPr>
              <w:pStyle w:val="ConsPlusNormal"/>
              <w:numPr>
                <w:ilvl w:val="0"/>
                <w:numId w:val="0"/>
              </w:numPr>
              <w:ind w:hanging="0"/>
              <w:jc w:val="both"/>
              <w:outlineLvl w:val="1"/>
              <w:rPr>
                <w:rFonts w:ascii="Arial" w:hAnsi="Arial"/>
                <w:sz w:val="24"/>
                <w:szCs w:val="24"/>
              </w:rPr>
            </w:pPr>
            <w:r>
              <w:rPr>
                <w:rFonts w:cs="Times New Roman" w:ascii="Arial" w:hAnsi="Arial"/>
                <w:bCs/>
                <w:color w:val="000000"/>
                <w:sz w:val="24"/>
                <w:szCs w:val="24"/>
                <w:lang w:val="en-US"/>
              </w:rPr>
              <w:t>Задаток должен быть внесен заявителем в срок, обеспечивающий его поступление на счет организатора торгов до даты окончания приема заявок на участие в торгах. Документом, подтверждающим поступление задатка на счет, указанный в информационном сообщении о проведении торгов, является выписка со счета, заверенная банком. Датой внесения задатка считается дата его поступления на расчетный счет, указанный в сообщении о проведении торгов..</w:t>
            </w:r>
          </w:p>
          <w:p>
            <w:pPr>
              <w:pStyle w:val="ConsTitle"/>
              <w:widowControl/>
              <w:ind w:hanging="0"/>
              <w:jc w:val="both"/>
              <w:rPr>
                <w:rFonts w:ascii="Arial" w:hAnsi="Arial" w:cs="Times New Roman"/>
                <w:b w:val="false"/>
                <w:b w:val="false"/>
                <w:bCs/>
                <w:color w:val="000000"/>
                <w:sz w:val="24"/>
                <w:szCs w:val="24"/>
                <w:lang w:val="en-US"/>
              </w:rPr>
            </w:pPr>
            <w:r>
              <w:rPr>
                <w:rFonts w:cs="Times New Roman" w:ascii="Arial" w:hAnsi="Arial"/>
                <w:b w:val="false"/>
                <w:bCs/>
                <w:color w:val="000000"/>
                <w:sz w:val="24"/>
                <w:szCs w:val="24"/>
                <w:lang w:val="en-US"/>
              </w:rPr>
              <w:t>Банк получателя: Сбербанк России,  ИНН: 7707083893, КПП: 784243001, БИК: 044030653, к/счет: 30101810500000000653, р/счет: 40817810555033288600, получатель: Бойцев Александр Геннадьевич</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л) начальная цена продажи имущества (предприятия) должника;</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ind w:hanging="0"/>
              <w:jc w:val="both"/>
              <w:outlineLvl w:val="1"/>
              <w:rPr>
                <w:rFonts w:ascii="Arial" w:hAnsi="Arial" w:cs="Times New Roman"/>
                <w:sz w:val="24"/>
                <w:szCs w:val="24"/>
                <w:lang w:val="en-US"/>
              </w:rPr>
            </w:pPr>
            <w:r>
              <w:rPr>
                <w:rFonts w:cs="Times New Roman" w:ascii="Arial" w:hAnsi="Arial"/>
                <w:sz w:val="24"/>
                <w:szCs w:val="24"/>
                <w:lang w:val="en-US"/>
              </w:rPr>
              <w:t>Лот 1: 4 900 000.00 руб.</w:t>
            </w:r>
          </w:p>
          <w:p>
            <w:pPr>
              <w:pStyle w:val="ConsPlusNormal"/>
              <w:numPr>
                <w:ilvl w:val="0"/>
                <w:numId w:val="0"/>
              </w:numPr>
              <w:ind w:firstLine="290"/>
              <w:jc w:val="both"/>
              <w:outlineLvl w:val="1"/>
              <w:rPr>
                <w:rFonts w:ascii="Arial" w:hAnsi="Arial" w:cs="Times New Roman"/>
                <w:sz w:val="24"/>
                <w:szCs w:val="24"/>
                <w:lang w:val="en-US"/>
              </w:rPr>
            </w:pPr>
            <w:r>
              <w:rPr>
                <w:rFonts w:cs="Times New Roman" w:ascii="Arial" w:hAnsi="Arial"/>
                <w:sz w:val="24"/>
                <w:szCs w:val="24"/>
                <w:lang w:val="en-US"/>
              </w:rPr>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hanging="0"/>
              <w:jc w:val="both"/>
              <w:rPr>
                <w:rFonts w:ascii="Arial" w:hAnsi="Arial"/>
                <w:color w:val="000000"/>
                <w:sz w:val="24"/>
                <w:szCs w:val="24"/>
              </w:rPr>
            </w:pPr>
            <w:r>
              <w:rPr>
                <w:rFonts w:ascii="Arial" w:hAnsi="Arial"/>
                <w:color w:val="000000"/>
                <w:sz w:val="24"/>
                <w:szCs w:val="24"/>
              </w:rPr>
              <w:t>Лот 1: 245 000.00 руб.</w:t>
            </w:r>
          </w:p>
          <w:p>
            <w:pPr>
              <w:pStyle w:val="Normal"/>
              <w:ind w:firstLine="290"/>
              <w:jc w:val="both"/>
              <w:rPr>
                <w:rFonts w:ascii="Arial" w:hAnsi="Arial"/>
                <w:color w:val="FF0000"/>
                <w:sz w:val="24"/>
                <w:szCs w:val="24"/>
                <w:lang w:val="en-US"/>
              </w:rPr>
            </w:pPr>
            <w:r>
              <w:rPr>
                <w:rFonts w:ascii="Arial" w:hAnsi="Arial"/>
                <w:color w:val="FF0000"/>
                <w:sz w:val="24"/>
                <w:szCs w:val="24"/>
                <w:lang w:val="en-US"/>
              </w:rPr>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н) порядок и критерии определения победителя торгов;</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hanging="0"/>
              <w:jc w:val="both"/>
              <w:rPr>
                <w:rFonts w:ascii="Arial" w:hAnsi="Arial"/>
                <w:color w:val="000000"/>
                <w:sz w:val="24"/>
                <w:szCs w:val="24"/>
              </w:rPr>
            </w:pPr>
            <w:r>
              <w:rPr>
                <w:rFonts w:ascii="Arial" w:hAnsi="Arial"/>
                <w:color w:val="000000"/>
                <w:sz w:val="24"/>
                <w:szCs w:val="24"/>
              </w:rPr>
              <w:t>Подведение результатов торгов осуществляется по истечении 30 минут после последнего предложения цены в месте проведения торгов. Победителем торгов признается участник, предложивший максимальную цену за имущество должника (не ниже начальной продажной стоимости). 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ЭТП в форме электронного документа для размещения на ЭТП. В случае отказа или уклонения победителя торгов от подписания договора купли-продажи в течение 5 дней с даты получения указанного предложения организатора торгов, внесенный задаток ему не возвращается и организатор торгов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Если к участию в торгах был допущен только один участник, заявка которого на участие в торгах содержит предложение о цене имущества должника не ниже установленной начальной цены, договор купли-продажи заключается организатором торгов с этим участником торгов в соответствии с представленным им предложением о цене.</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о) дата, время и место подведения результатов открытых торгов;</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hanging="0"/>
              <w:jc w:val="both"/>
              <w:rPr>
                <w:rFonts w:ascii="Arial" w:hAnsi="Arial"/>
                <w:color w:val="000000"/>
                <w:sz w:val="24"/>
                <w:szCs w:val="24"/>
              </w:rPr>
            </w:pPr>
            <w:r>
              <w:rPr>
                <w:rFonts w:ascii="Arial" w:hAnsi="Arial"/>
                <w:color w:val="000000"/>
                <w:sz w:val="24"/>
                <w:szCs w:val="24"/>
              </w:rPr>
              <w:t>08.05.2019 года. Подведение результатов торгов по истечении 30 минут после последнего предложения цены в месте проведения торгов - на электронной торговой площадке (ЭТП) АО «Российский аукционный дом» с доменным именем www.bankruptcy.lot-online.ru</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п) порядок и срок заключения договора купли-продажи имущества (предприятия) должника;</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hanging="0"/>
              <w:jc w:val="both"/>
              <w:rPr>
                <w:rFonts w:ascii="Arial" w:hAnsi="Arial"/>
                <w:color w:val="000000"/>
                <w:sz w:val="24"/>
                <w:szCs w:val="24"/>
              </w:rPr>
            </w:pPr>
            <w:r>
              <w:rPr>
                <w:rFonts w:ascii="Arial" w:hAnsi="Arial"/>
                <w:color w:val="000000"/>
                <w:sz w:val="24"/>
                <w:szCs w:val="24"/>
              </w:rPr>
              <w:t>В течение 5 (пяти) дней с даты подписания протокола о результатах торгов финансовый управляющий направляет победителю торгов предложение заключить договор купли-продажи с приложением проекта данного договора в соответствии с представленным победителем торгов предложением о цене. Договор купли-продажи заключается с победителем торгов в течение 5 дней с момента получения победителем торгов предложения о заключении договора. Право собственности на приобретаемое Имущество переходит к покупателю с момента государственной регистрации перехода права собственности на недвижимое имущество, являющееся предметом торгов, но не ранее полной его оплаты в соответствии с условиями договора купли-продажи. Передача Имущества арбитражным управляющим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 В случае отказа или уклонения победителя торгов от подписания договора купли-продажи в течение 5 дней с даты получения указанного предложения организатора торгов, внесенный задаток ему не возвращается и организатор торгов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Если к участию в торгах был допущен только один участник, заявка которого на участие в торгах содержит предложение о цене имущества должника не ниже установленной начальной цены, договор купли-продажи заключается организатором торгов с этим участником торгов в соответствии с представленным им предложением о цене.</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р) сроки платежей, реквизиты счетов, на которые вносятся платежи;</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hanging="0"/>
              <w:jc w:val="both"/>
              <w:rPr>
                <w:rFonts w:ascii="Arial" w:hAnsi="Arial"/>
                <w:color w:val="000000"/>
                <w:sz w:val="24"/>
                <w:szCs w:val="24"/>
              </w:rPr>
            </w:pPr>
            <w:r>
              <w:rPr>
                <w:rFonts w:ascii="Arial" w:hAnsi="Arial"/>
                <w:color w:val="000000"/>
                <w:sz w:val="24"/>
                <w:szCs w:val="24"/>
              </w:rPr>
              <w:t>Покупатель производит оплату в течение 30 дней с даты подписания договора купли-продажи на счет должника Морозова Владимира Степановича.</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t>с) сведения об организаторе торгов (его почтовый адрес, адрес электронной почты, номер контактного телефона);</w:t>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ind w:hanging="0"/>
              <w:jc w:val="both"/>
              <w:outlineLvl w:val="1"/>
              <w:rPr/>
            </w:pPr>
            <w:r>
              <w:rPr>
                <w:rFonts w:cs="Times New Roman" w:ascii="Arial" w:hAnsi="Arial"/>
                <w:color w:val="000000"/>
                <w:sz w:val="24"/>
                <w:szCs w:val="24"/>
                <w:lang w:val="en-US"/>
              </w:rPr>
              <w:t xml:space="preserve">Организатор торгов – Бойцев Александр Геннадьевич (ИНН 100123543465, СНИЛС: </w:t>
            </w:r>
            <w:r>
              <w:rPr>
                <w:rFonts w:ascii="Arial" w:hAnsi="Arial"/>
                <w:sz w:val="24"/>
                <w:szCs w:val="24"/>
                <w:lang w:val="en-US"/>
              </w:rPr>
              <w:t>140-935-321 43</w:t>
            </w:r>
            <w:r>
              <w:rPr>
                <w:rFonts w:cs="Times New Roman" w:ascii="Arial" w:hAnsi="Arial"/>
                <w:color w:val="000000"/>
                <w:sz w:val="24"/>
                <w:szCs w:val="24"/>
                <w:lang w:val="en-US"/>
              </w:rPr>
              <w:t xml:space="preserve">, адрес: 185011, Республика Карелия, г. Петрозаводск, ул. Белинского, д. 7в, кв. 43, тел. 89116621502, e-mail: </w:t>
            </w:r>
            <w:hyperlink r:id="rId2">
              <w:r>
                <w:rPr>
                  <w:rStyle w:val="Style15"/>
                  <w:rFonts w:cs="Times New Roman" w:ascii="Arial" w:hAnsi="Arial"/>
                  <w:color w:val="000000"/>
                  <w:sz w:val="24"/>
                  <w:szCs w:val="24"/>
                  <w:lang w:val="en-US"/>
                </w:rPr>
                <w:t>alex_boytsev@mail.ru</w:t>
              </w:r>
            </w:hyperlink>
            <w:r>
              <w:rPr>
                <w:rFonts w:cs="Times New Roman" w:ascii="Arial" w:hAnsi="Arial"/>
                <w:color w:val="000000"/>
                <w:sz w:val="24"/>
                <w:szCs w:val="24"/>
                <w:lang w:val="en-US"/>
              </w:rPr>
              <w:t>).</w:t>
            </w:r>
          </w:p>
        </w:tc>
      </w:tr>
      <w:tr>
        <w:trPr/>
        <w:tc>
          <w:tcPr>
            <w:tcW w:w="5076" w:type="dxa"/>
            <w:tcBorders>
              <w:top w:val="single" w:sz="4" w:space="0" w:color="000000"/>
              <w:left w:val="single" w:sz="4" w:space="0" w:color="000000"/>
              <w:bottom w:val="single" w:sz="4" w:space="0" w:color="000000"/>
              <w:insideH w:val="single" w:sz="4" w:space="0" w:color="000000"/>
            </w:tcBorders>
            <w:shd w:fill="FFFFFF" w:val="clear"/>
          </w:tcPr>
          <w:p>
            <w:pPr>
              <w:pStyle w:val="Normal"/>
              <w:autoSpaceDE w:val="false"/>
              <w:ind w:firstLine="540"/>
              <w:jc w:val="both"/>
              <w:rPr>
                <w:rFonts w:ascii="Arial" w:hAnsi="Arial"/>
                <w:sz w:val="24"/>
                <w:szCs w:val="24"/>
              </w:rPr>
            </w:pPr>
            <w:r>
              <w:rPr>
                <w:rFonts w:ascii="Arial" w:hAnsi="Arial"/>
                <w:sz w:val="24"/>
                <w:szCs w:val="24"/>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Pr>
                <w:rFonts w:ascii="Arial" w:hAnsi="Arial"/>
                <w:color w:val="000000"/>
                <w:sz w:val="24"/>
                <w:szCs w:val="24"/>
              </w:rPr>
              <w:t>законом</w:t>
            </w:r>
            <w:r>
              <w:rPr>
                <w:rFonts w:ascii="Arial" w:hAnsi="Arial"/>
                <w:sz w:val="24"/>
                <w:szCs w:val="24"/>
              </w:rPr>
              <w:t xml:space="preserve"> от 26 октября 2002 г. N 127-ФЗ "О несостоятельности (банкротстве)" (Собрание законодательства Российской Федерации, 2002, N 43, ст. 4190; 2004, N 35, ст. 3607; 2005, N 1, ст. 18, 46; N 44, ст. 4471; 2006, N 30, ст. 3292; N 52, ст. 5497; 2007, N 7, ст. 834; N 18, ст. 2117; N 30, ст. 3754; N 41, ст. 4845; N 49, ст. 6079; 2008, N 30, ст. 3616; N 49, ст. 5748; 2009, N 1, ст. 4, 14; N 18, ст. 2153; N 29, ст. 3632; 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
          <w:p>
            <w:pPr>
              <w:pStyle w:val="ConsPlusNormal"/>
              <w:numPr>
                <w:ilvl w:val="0"/>
                <w:numId w:val="0"/>
              </w:numPr>
              <w:ind w:firstLine="290"/>
              <w:jc w:val="both"/>
              <w:outlineLvl w:val="1"/>
              <w:rPr>
                <w:rFonts w:ascii="Arial" w:hAnsi="Arial" w:cs="Times New Roman"/>
                <w:sz w:val="24"/>
                <w:szCs w:val="24"/>
              </w:rPr>
            </w:pPr>
            <w:r>
              <w:rPr>
                <w:rFonts w:cs="Times New Roman" w:ascii="Arial" w:hAnsi="Arial"/>
                <w:sz w:val="24"/>
                <w:szCs w:val="24"/>
              </w:rPr>
            </w:r>
          </w:p>
        </w:tc>
        <w:tc>
          <w:tcPr>
            <w:tcW w:w="51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
              <w:numPr>
                <w:ilvl w:val="0"/>
                <w:numId w:val="0"/>
              </w:numPr>
              <w:ind w:left="16" w:hanging="0"/>
              <w:jc w:val="both"/>
              <w:outlineLvl w:val="1"/>
              <w:rPr>
                <w:rFonts w:ascii="Arial" w:hAnsi="Arial"/>
                <w:sz w:val="24"/>
                <w:szCs w:val="24"/>
              </w:rPr>
            </w:pPr>
            <w:r>
              <w:rPr>
                <w:rFonts w:cs="Times New Roman" w:ascii="Arial" w:hAnsi="Arial"/>
                <w:color w:val="000000"/>
                <w:sz w:val="24"/>
                <w:szCs w:val="24"/>
                <w:lang w:val="ru-RU"/>
              </w:rPr>
              <w:t>В ЕФРСБ - с</w:t>
            </w:r>
            <w:r>
              <w:rPr>
                <w:rFonts w:cs="Times New Roman" w:ascii="Arial" w:hAnsi="Arial"/>
                <w:color w:val="000000"/>
                <w:sz w:val="24"/>
                <w:szCs w:val="24"/>
                <w:lang w:val="en-US"/>
              </w:rPr>
              <w:t>ообщение</w:t>
            </w:r>
            <w:r>
              <w:rPr>
                <w:rFonts w:cs="Times New Roman" w:ascii="Arial" w:hAnsi="Arial"/>
                <w:color w:val="000000"/>
                <w:sz w:val="24"/>
                <w:szCs w:val="24"/>
                <w:lang w:val="ru-RU"/>
              </w:rPr>
              <w:t xml:space="preserve"> № </w:t>
            </w:r>
            <w:r>
              <w:rPr>
                <w:rFonts w:cs="Times New Roman" w:ascii="Arial" w:hAnsi="Arial"/>
                <w:color w:val="000000"/>
                <w:sz w:val="24"/>
                <w:szCs w:val="24"/>
                <w:lang w:val="en-US"/>
              </w:rPr>
              <w:t xml:space="preserve">3530468 </w:t>
            </w:r>
            <w:r>
              <w:rPr>
                <w:rFonts w:cs="Times New Roman" w:ascii="Arial" w:hAnsi="Arial"/>
                <w:color w:val="000000"/>
                <w:sz w:val="24"/>
                <w:szCs w:val="24"/>
                <w:lang w:val="ru-RU"/>
              </w:rPr>
              <w:t xml:space="preserve">от </w:t>
            </w:r>
            <w:r>
              <w:rPr>
                <w:rFonts w:cs="Times New Roman" w:ascii="Arial" w:hAnsi="Arial"/>
                <w:color w:val="000000"/>
                <w:sz w:val="24"/>
                <w:szCs w:val="24"/>
                <w:lang w:val="en-US"/>
              </w:rPr>
              <w:t>21.03.2019</w:t>
            </w:r>
            <w:r>
              <w:rPr>
                <w:rFonts w:cs="Times New Roman" w:ascii="Arial" w:hAnsi="Arial"/>
                <w:color w:val="000000"/>
                <w:sz w:val="24"/>
                <w:szCs w:val="24"/>
                <w:lang w:val="en-US"/>
              </w:rPr>
              <w:t xml:space="preserve"> года</w:t>
            </w:r>
          </w:p>
          <w:p>
            <w:pPr>
              <w:pStyle w:val="ConsPlusNormal"/>
              <w:numPr>
                <w:ilvl w:val="0"/>
                <w:numId w:val="0"/>
              </w:numPr>
              <w:ind w:firstLine="290"/>
              <w:jc w:val="both"/>
              <w:outlineLvl w:val="1"/>
              <w:rPr>
                <w:rFonts w:ascii="Arial" w:hAnsi="Arial" w:cs="Times New Roman"/>
                <w:color w:val="FF0000"/>
                <w:sz w:val="24"/>
                <w:szCs w:val="24"/>
                <w:lang w:val="en-US"/>
              </w:rPr>
            </w:pPr>
            <w:r>
              <w:rPr>
                <w:rFonts w:cs="Times New Roman" w:ascii="Arial" w:hAnsi="Arial"/>
                <w:color w:val="FF0000"/>
                <w:sz w:val="24"/>
                <w:szCs w:val="24"/>
                <w:lang w:val="en-US"/>
              </w:rPr>
            </w:r>
          </w:p>
        </w:tc>
      </w:tr>
    </w:tbl>
    <w:p>
      <w:pPr>
        <w:pStyle w:val="ConsPlusNormal"/>
        <w:numPr>
          <w:ilvl w:val="0"/>
          <w:numId w:val="0"/>
        </w:numPr>
        <w:ind w:firstLine="540"/>
        <w:jc w:val="both"/>
        <w:outlineLvl w:val="1"/>
        <w:rPr>
          <w:rFonts w:ascii="Arial" w:hAnsi="Arial" w:cs="Times New Roman"/>
          <w:sz w:val="24"/>
          <w:szCs w:val="24"/>
          <w:lang w:val="en-US"/>
        </w:rPr>
      </w:pPr>
      <w:r>
        <w:rPr>
          <w:rFonts w:cs="Times New Roman" w:ascii="Arial" w:hAnsi="Arial"/>
          <w:sz w:val="24"/>
          <w:szCs w:val="24"/>
          <w:lang w:val="en-US"/>
        </w:rPr>
      </w:r>
    </w:p>
    <w:p>
      <w:pPr>
        <w:pStyle w:val="ConsPlusNormal"/>
        <w:numPr>
          <w:ilvl w:val="0"/>
          <w:numId w:val="0"/>
        </w:numPr>
        <w:ind w:firstLine="540"/>
        <w:jc w:val="center"/>
        <w:outlineLvl w:val="1"/>
        <w:rPr>
          <w:rFonts w:ascii="Arial" w:hAnsi="Arial" w:cs="Times New Roman"/>
          <w:sz w:val="24"/>
          <w:szCs w:val="24"/>
          <w:lang w:val="en-US"/>
        </w:rPr>
      </w:pPr>
      <w:r>
        <w:rPr>
          <w:rFonts w:cs="Times New Roman" w:ascii="Arial" w:hAnsi="Arial"/>
          <w:sz w:val="24"/>
          <w:szCs w:val="24"/>
          <w:lang w:val="en-US"/>
        </w:rPr>
      </w:r>
    </w:p>
    <w:sectPr>
      <w:type w:val="nextPage"/>
      <w:pgSz w:w="11906" w:h="16838"/>
      <w:pgMar w:left="1418" w:right="851"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swiss"/>
    <w:pitch w:val="variable"/>
  </w:font>
  <w:font w:name="Courier New">
    <w:charset w:val="cc"/>
    <w:family w:val="modern"/>
    <w:pitch w:val="default"/>
  </w:font>
  <w:font w:name="Tahoma">
    <w:charset w:val="cc"/>
    <w:family w:val="swiss"/>
    <w:pitch w:val="variable"/>
  </w:font>
  <w:font w:name="Arial">
    <w:charset w:val="01"/>
    <w:family w:val="swiss"/>
    <w:pitch w:val="variable"/>
  </w:font>
</w:fonts>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ru-RU"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000000"/>
      <w:sz w:val="24"/>
      <w:szCs w:val="24"/>
      <w:lang w:val="ru-RU"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color w:val="000000"/>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4">
    <w:name w:val="Основной шрифт абзаца"/>
    <w:qFormat/>
    <w:rPr/>
  </w:style>
  <w:style w:type="character" w:styleId="Paragraph">
    <w:name w:val="paragraph"/>
    <w:basedOn w:val="Style14"/>
    <w:qFormat/>
    <w:rPr/>
  </w:style>
  <w:style w:type="character" w:styleId="Style15">
    <w:name w:val="Интернет-ссылка"/>
    <w:rPr>
      <w:color w:val="0000FF"/>
      <w:u w:val="single"/>
    </w:rPr>
  </w:style>
  <w:style w:type="character" w:styleId="Style16">
    <w:name w:val="Знак примечания"/>
    <w:qFormat/>
    <w:rPr>
      <w:sz w:val="16"/>
      <w:szCs w:val="16"/>
    </w:rPr>
  </w:style>
  <w:style w:type="character" w:styleId="Applestylespan">
    <w:name w:val="apple-style-span"/>
    <w:basedOn w:val="Style14"/>
    <w:qFormat/>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ConsPlusNormal">
    <w:name w:val="ConsPlusNormal"/>
    <w:qFormat/>
    <w:pPr>
      <w:widowControl/>
      <w:autoSpaceDE w:val="false"/>
      <w:ind w:firstLine="720"/>
    </w:pPr>
    <w:rPr>
      <w:rFonts w:ascii="Arial" w:hAnsi="Arial" w:eastAsia="Times New Roman" w:cs="Arial"/>
      <w:color w:val="auto"/>
      <w:sz w:val="20"/>
      <w:szCs w:val="20"/>
      <w:lang w:val="ru-RU" w:bidi="ar-SA" w:eastAsia="zh-CN"/>
    </w:rPr>
  </w:style>
  <w:style w:type="paragraph" w:styleId="ConsPlusNonformat">
    <w:name w:val="ConsPlusNonformat"/>
    <w:qFormat/>
    <w:pPr>
      <w:widowControl/>
      <w:autoSpaceDE w:val="false"/>
    </w:pPr>
    <w:rPr>
      <w:rFonts w:ascii="Courier New" w:hAnsi="Courier New" w:eastAsia="Times New Roman" w:cs="Courier New"/>
      <w:color w:val="auto"/>
      <w:sz w:val="20"/>
      <w:szCs w:val="20"/>
      <w:lang w:val="ru-RU" w:bidi="ar-SA" w:eastAsia="zh-CN"/>
    </w:rPr>
  </w:style>
  <w:style w:type="paragraph" w:styleId="Style22">
    <w:name w:val="Текст выноски"/>
    <w:basedOn w:val="Normal"/>
    <w:qFormat/>
    <w:pPr/>
    <w:rPr>
      <w:rFonts w:ascii="Tahoma" w:hAnsi="Tahoma" w:cs="Tahoma"/>
      <w:sz w:val="16"/>
      <w:szCs w:val="16"/>
    </w:rPr>
  </w:style>
  <w:style w:type="paragraph" w:styleId="ConsTitle">
    <w:name w:val="ConsTitle"/>
    <w:qFormat/>
    <w:pPr>
      <w:widowControl w:val="false"/>
    </w:pPr>
    <w:rPr>
      <w:rFonts w:ascii="Arial" w:hAnsi="Arial" w:eastAsia="Times New Roman" w:cs="Arial"/>
      <w:b/>
      <w:color w:val="auto"/>
      <w:sz w:val="16"/>
      <w:szCs w:val="20"/>
      <w:lang w:val="ru-RU" w:bidi="ar-SA" w:eastAsia="zh-CN"/>
    </w:rPr>
  </w:style>
  <w:style w:type="paragraph" w:styleId="Style23">
    <w:name w:val="Текст примечания"/>
    <w:basedOn w:val="Normal"/>
    <w:qFormat/>
    <w:pPr/>
    <w:rPr>
      <w:sz w:val="20"/>
      <w:szCs w:val="20"/>
    </w:rPr>
  </w:style>
  <w:style w:type="paragraph" w:styleId="Style24">
    <w:name w:val="Тема примечания"/>
    <w:basedOn w:val="Style23"/>
    <w:next w:val="Style23"/>
    <w:qFormat/>
    <w:pPr/>
    <w:rPr>
      <w:b/>
      <w:bCs/>
    </w:rPr>
  </w:style>
  <w:style w:type="paragraph" w:styleId="Style25">
    <w:name w:val="Содержимое таблицы"/>
    <w:basedOn w:val="Normal"/>
    <w:qFormat/>
    <w:pPr>
      <w:suppressLineNumbers/>
    </w:pPr>
    <w:rPr/>
  </w:style>
  <w:style w:type="paragraph" w:styleId="Style26">
    <w:name w:val="Заголовок таблицы"/>
    <w:basedOn w:val="Style25"/>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gafonov@property-fund.ru"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207</TotalTime>
  <Application>LibreOffice/6.0.5.2$Windows_X86_64 LibreOffice_project/54c8cbb85f300ac59db32fe8a675ff7683cd5a16</Application>
  <Pages>6</Pages>
  <Words>1417</Words>
  <Characters>9589</Characters>
  <CharactersWithSpaces>10971</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2011-07-08T12:43:00Z</dcterms:created>
  <dc:creator>Просвирницына Рина</dc:creator>
  <dc:description/>
  <cp:keywords/>
  <dc:language>ru-RU</dc:language>
  <cp:lastModifiedBy/>
  <cp:lastPrinted>2010-11-10T17:05:00Z</cp:lastPrinted>
  <dcterms:modified xsi:type="dcterms:W3CDTF">2019-03-21T15:41:16Z</dcterms:modified>
  <cp:revision>15</cp:revision>
  <dc:subject/>
  <dc:title>3</dc:title>
</cp:coreProperties>
</file>