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888" w:rsidRDefault="00F11551">
      <w:r>
        <w:rPr>
          <w:rFonts w:ascii="Arial" w:hAnsi="Arial" w:cs="Arial"/>
        </w:rPr>
        <w:t xml:space="preserve">Лот№1: </w:t>
      </w:r>
      <w:bookmarkStart w:id="0" w:name="_GoBack"/>
      <w:bookmarkEnd w:id="0"/>
      <w:r>
        <w:rPr>
          <w:rFonts w:ascii="Arial" w:hAnsi="Arial" w:cs="Arial"/>
        </w:rPr>
        <w:t xml:space="preserve">Комплекс строений, назначение объекта: нежилое, площадь 1 353,7 кв. м, кадастровый (или условный) номер 60:17:0010430:82, адрес (местоположение) объекта: Псковская область, </w:t>
      </w:r>
      <w:proofErr w:type="spellStart"/>
      <w:r>
        <w:rPr>
          <w:rFonts w:ascii="Arial" w:hAnsi="Arial" w:cs="Arial"/>
        </w:rPr>
        <w:t>Порховский</w:t>
      </w:r>
      <w:proofErr w:type="spellEnd"/>
      <w:r>
        <w:rPr>
          <w:rFonts w:ascii="Arial" w:hAnsi="Arial" w:cs="Arial"/>
        </w:rPr>
        <w:t xml:space="preserve"> район, г. Порхов, ул. Старорусская, д. 39; Сооружение железнодорожного транспорта, назначение объекта: нежилое, площадь 3 066 м, кадастровый (или условный) номер 60:17:0000000:405, адрес (местоположение) объекта: Псковская область, </w:t>
      </w:r>
      <w:proofErr w:type="spellStart"/>
      <w:r>
        <w:rPr>
          <w:rFonts w:ascii="Arial" w:hAnsi="Arial" w:cs="Arial"/>
        </w:rPr>
        <w:t>Порховский</w:t>
      </w:r>
      <w:proofErr w:type="spellEnd"/>
      <w:r>
        <w:rPr>
          <w:rFonts w:ascii="Arial" w:hAnsi="Arial" w:cs="Arial"/>
        </w:rPr>
        <w:t xml:space="preserve"> район, г. Порхов, д. б/н; Комплекс строений, назначение объекта: нежилое, кадастровый (или условный) номер 60:17:0010430:88, адрес (местоположение) объекта: Псковская область, </w:t>
      </w:r>
      <w:proofErr w:type="spellStart"/>
      <w:r>
        <w:rPr>
          <w:rFonts w:ascii="Arial" w:hAnsi="Arial" w:cs="Arial"/>
        </w:rPr>
        <w:t>Порховский</w:t>
      </w:r>
      <w:proofErr w:type="spellEnd"/>
      <w:r>
        <w:rPr>
          <w:rFonts w:ascii="Arial" w:hAnsi="Arial" w:cs="Arial"/>
        </w:rPr>
        <w:t xml:space="preserve"> район, г. Порхов, ул. Старорусская, д. б/н; Внутризаводские железнодорожные пути, назначение объекта: нежилое, площадь 1 821 м, кадастровый (или условный) номер 60:17:0010459:13, адрес (местоположение) объекта: Псковская область, </w:t>
      </w:r>
      <w:proofErr w:type="spellStart"/>
      <w:r>
        <w:rPr>
          <w:rFonts w:ascii="Arial" w:hAnsi="Arial" w:cs="Arial"/>
        </w:rPr>
        <w:t>Порховский</w:t>
      </w:r>
      <w:proofErr w:type="spellEnd"/>
      <w:r>
        <w:rPr>
          <w:rFonts w:ascii="Arial" w:hAnsi="Arial" w:cs="Arial"/>
        </w:rPr>
        <w:t xml:space="preserve"> район, г. Порхов, ул. Старорусская, д. 39; Внеплощадочные сети газопровода, назначение объекта: нежилое, площадь 2 137,32 м, кадастровый (или условный) номер 60:17:0010459:12; Канатный </w:t>
      </w:r>
      <w:proofErr w:type="spellStart"/>
      <w:r>
        <w:rPr>
          <w:rFonts w:ascii="Arial" w:hAnsi="Arial" w:cs="Arial"/>
        </w:rPr>
        <w:t>электротельфер</w:t>
      </w:r>
      <w:proofErr w:type="spellEnd"/>
      <w:r>
        <w:rPr>
          <w:rFonts w:ascii="Arial" w:hAnsi="Arial" w:cs="Arial"/>
        </w:rPr>
        <w:t xml:space="preserve"> (№2); Таль электрическая; Тельфер </w:t>
      </w:r>
      <w:proofErr w:type="spellStart"/>
      <w:r>
        <w:rPr>
          <w:rFonts w:ascii="Arial" w:hAnsi="Arial" w:cs="Arial"/>
        </w:rPr>
        <w:t>эл.передв</w:t>
      </w:r>
      <w:proofErr w:type="spellEnd"/>
      <w:r>
        <w:rPr>
          <w:rFonts w:ascii="Arial" w:hAnsi="Arial" w:cs="Arial"/>
        </w:rPr>
        <w:t xml:space="preserve"> г/п 2 т; Дробилка ДРЦА-700.00.000ПС; Мельница молотковая тангенциальная ММТ 1500/2510/750; Тельфер </w:t>
      </w:r>
      <w:proofErr w:type="spellStart"/>
      <w:r>
        <w:rPr>
          <w:rFonts w:ascii="Arial" w:hAnsi="Arial" w:cs="Arial"/>
        </w:rPr>
        <w:t>эл.передв</w:t>
      </w:r>
      <w:proofErr w:type="spellEnd"/>
      <w:r>
        <w:rPr>
          <w:rFonts w:ascii="Arial" w:hAnsi="Arial" w:cs="Arial"/>
        </w:rPr>
        <w:t xml:space="preserve"> г/п 1 т; </w:t>
      </w:r>
      <w:proofErr w:type="spellStart"/>
      <w:r>
        <w:rPr>
          <w:rFonts w:ascii="Arial" w:hAnsi="Arial" w:cs="Arial"/>
        </w:rPr>
        <w:t>Эл.тельфер</w:t>
      </w:r>
      <w:proofErr w:type="spellEnd"/>
      <w:r>
        <w:rPr>
          <w:rFonts w:ascii="Arial" w:hAnsi="Arial" w:cs="Arial"/>
        </w:rPr>
        <w:t xml:space="preserve"> 2 т/6 м; Насос пневматический винтовой для цемента ТА - 14Б; Транспортер ленточный стационарный; Транспортер ленточный передвижной; Таль электрическая канатная ТЭ 100; Таль электрическая канатная г/п 2 т, в/п 6 м; Таль электрическая канатная г/П3.0 ТН/L=6 м; Тепловоз ТГК-2 № 6743 мощность двигателя 250 </w:t>
      </w:r>
      <w:proofErr w:type="spellStart"/>
      <w:r>
        <w:rPr>
          <w:rFonts w:ascii="Arial" w:hAnsi="Arial" w:cs="Arial"/>
        </w:rPr>
        <w:t>л.с</w:t>
      </w:r>
      <w:proofErr w:type="spellEnd"/>
      <w:r>
        <w:rPr>
          <w:rFonts w:ascii="Arial" w:hAnsi="Arial" w:cs="Arial"/>
        </w:rPr>
        <w:t xml:space="preserve">., число оборотов в минуту 1500, двигатель У1Д6-230 ОТК, дизельный, размеры: ширина - 3074 мм, высота 3478 мм, длина 8280 мм, диаметр колес 900 мм; Тепловоз тГК-2 № 8707 мощность двигателя 250 </w:t>
      </w:r>
      <w:proofErr w:type="spellStart"/>
      <w:r>
        <w:rPr>
          <w:rFonts w:ascii="Arial" w:hAnsi="Arial" w:cs="Arial"/>
        </w:rPr>
        <w:t>л.с</w:t>
      </w:r>
      <w:proofErr w:type="spellEnd"/>
      <w:r>
        <w:rPr>
          <w:rFonts w:ascii="Arial" w:hAnsi="Arial" w:cs="Arial"/>
        </w:rPr>
        <w:t xml:space="preserve">., число оборотов в минуту 1500, двигатель У1Д6-ТК05, дизельный, размеры: ширина - 3074 мм, высота 3478 мм., длина 8280 мм., диаметр колес 900 мм; Экскаватор гидравлический ЭО-5122; </w:t>
      </w:r>
      <w:proofErr w:type="spellStart"/>
      <w:r>
        <w:rPr>
          <w:rFonts w:ascii="Arial" w:hAnsi="Arial" w:cs="Arial"/>
        </w:rPr>
        <w:t>Бетоносмеситель</w:t>
      </w:r>
      <w:proofErr w:type="spellEnd"/>
      <w:r>
        <w:rPr>
          <w:rFonts w:ascii="Arial" w:hAnsi="Arial" w:cs="Arial"/>
        </w:rPr>
        <w:t xml:space="preserve"> СБР - 500; Трактор Т-130 МБ; Трактор Т-130 м; Трактор Т-130 МБГ-3; Трактор Т-150 к; Трактор Т-158 к; Станок КЛ-96м; Кран подвесной однобалочный (ГОСТ 7890-84); Автобус ПАЗ 32053; ФИАТ DOBLOCARGO; Трактор гусеничный Т-330 Р-1; Станок вертикально-фрезерный 6Н12; Экскаватор гидравлический ЭО-2621 В-1 на базе ЮМЗ-6; Экскаватор одноковшовый 0,65 куб. м гидравлический ЭО-4321; КАМАЗ 55111 ГА самосвал; Конвейер с погруженными скребками КПС-200, производительность 15 т/час. Длина 60 м, ширина - 2 м; Прицеп тракторный 2ПТС-4, мод. 8526; Полуприцеп мод. ММЗ-771; Полуприцеп мод. ММЗ-771; Трактор МТЗ-82; Права требования по договору аренды земельного участка из земель населенных пунктов, кадастровый номер: 60:17:010459:1, площадью 82425 кв. м, с разрешенным использованием для производственных нужд.</w:t>
      </w:r>
    </w:p>
    <w:sectPr w:rsidR="00303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551"/>
    <w:rsid w:val="00303888"/>
    <w:rsid w:val="00F1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8B03A3-D6A9-4249-9D4C-8EEFB59F0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Skynet</dc:creator>
  <cp:keywords/>
  <dc:description/>
  <cp:lastModifiedBy>Skynet</cp:lastModifiedBy>
  <cp:revision>1</cp:revision>
  <dcterms:created xsi:type="dcterms:W3CDTF">2017-03-19T14:38:00Z</dcterms:created>
  <dcterms:modified xsi:type="dcterms:W3CDTF">2017-03-19T14:39:00Z</dcterms:modified>
</cp:coreProperties>
</file>